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rPr>
          <w:rFonts w:ascii="新宋体" w:hAnsi="新宋体"/>
          <w:b/>
          <w:sz w:val="32"/>
          <w:szCs w:val="32"/>
        </w:rPr>
      </w:pPr>
    </w:p>
    <w:p>
      <w:pPr>
        <w:adjustRightInd w:val="0"/>
        <w:snapToGrid w:val="0"/>
        <w:spacing w:line="300" w:lineRule="auto"/>
        <w:jc w:val="center"/>
        <w:rPr>
          <w:rFonts w:ascii="宋体" w:hAnsi="宋体" w:cs="宋体"/>
          <w:b/>
          <w:sz w:val="44"/>
          <w:szCs w:val="44"/>
        </w:rPr>
      </w:pPr>
    </w:p>
    <w:p>
      <w:pPr>
        <w:adjustRightInd w:val="0"/>
        <w:snapToGrid w:val="0"/>
        <w:spacing w:line="300" w:lineRule="auto"/>
        <w:jc w:val="center"/>
        <w:rPr>
          <w:rFonts w:hint="eastAsia" w:ascii="新宋体" w:hAnsi="新宋体" w:eastAsia="宋体"/>
          <w:b/>
          <w:sz w:val="44"/>
          <w:szCs w:val="44"/>
          <w:lang w:eastAsia="zh-CN"/>
        </w:rPr>
      </w:pPr>
      <w:r>
        <w:rPr>
          <w:rFonts w:hint="eastAsia" w:ascii="宋体" w:hAnsi="宋体" w:cs="宋体"/>
          <w:b/>
          <w:sz w:val="44"/>
          <w:szCs w:val="44"/>
          <w:lang w:eastAsia="zh-CN"/>
        </w:rPr>
        <w:t>白云山校区国际学院公共区域局部修缮项目</w:t>
      </w:r>
    </w:p>
    <w:p>
      <w:pPr>
        <w:adjustRightInd w:val="0"/>
        <w:snapToGrid w:val="0"/>
        <w:spacing w:line="300" w:lineRule="auto"/>
        <w:rPr>
          <w:rFonts w:ascii="新宋体" w:hAnsi="新宋体"/>
          <w:b/>
          <w:sz w:val="44"/>
          <w:szCs w:val="44"/>
        </w:rPr>
      </w:pPr>
    </w:p>
    <w:p>
      <w:pPr>
        <w:adjustRightInd w:val="0"/>
        <w:snapToGrid w:val="0"/>
        <w:spacing w:line="300" w:lineRule="auto"/>
        <w:rPr>
          <w:rFonts w:hint="eastAsia" w:ascii="新宋体" w:hAnsi="新宋体"/>
          <w:b/>
          <w:sz w:val="44"/>
          <w:szCs w:val="44"/>
        </w:rPr>
      </w:pPr>
    </w:p>
    <w:p>
      <w:pPr>
        <w:adjustRightInd w:val="0"/>
        <w:snapToGrid w:val="0"/>
        <w:spacing w:line="300" w:lineRule="auto"/>
        <w:rPr>
          <w:rFonts w:ascii="新宋体" w:hAnsi="新宋体"/>
          <w:b/>
          <w:sz w:val="44"/>
          <w:szCs w:val="44"/>
        </w:rPr>
      </w:pPr>
    </w:p>
    <w:p>
      <w:pPr>
        <w:adjustRightInd w:val="0"/>
        <w:snapToGrid w:val="0"/>
        <w:spacing w:line="300" w:lineRule="auto"/>
        <w:jc w:val="center"/>
        <w:rPr>
          <w:rFonts w:ascii="华文新魏" w:hAnsi="新宋体" w:eastAsia="楷体_GB2312"/>
          <w:b/>
          <w:sz w:val="84"/>
          <w:szCs w:val="84"/>
        </w:rPr>
      </w:pPr>
      <w:r>
        <w:rPr>
          <w:rFonts w:hint="eastAsia" w:ascii="华文新魏" w:hAnsi="新宋体" w:eastAsia="楷体_GB2312"/>
          <w:b/>
          <w:sz w:val="84"/>
          <w:szCs w:val="84"/>
        </w:rPr>
        <w:t>招</w:t>
      </w:r>
    </w:p>
    <w:p>
      <w:pPr>
        <w:adjustRightInd w:val="0"/>
        <w:snapToGrid w:val="0"/>
        <w:spacing w:line="300" w:lineRule="auto"/>
        <w:jc w:val="center"/>
        <w:rPr>
          <w:rFonts w:ascii="华文新魏" w:hAnsi="新宋体" w:eastAsia="楷体_GB2312"/>
          <w:b/>
          <w:sz w:val="28"/>
          <w:szCs w:val="28"/>
        </w:rPr>
      </w:pPr>
      <w:r>
        <w:rPr>
          <w:rFonts w:hint="eastAsia" w:ascii="华文新魏" w:hAnsi="新宋体" w:eastAsia="楷体_GB2312"/>
          <w:b/>
          <w:sz w:val="84"/>
          <w:szCs w:val="84"/>
        </w:rPr>
        <w:t>标</w:t>
      </w:r>
    </w:p>
    <w:p>
      <w:pPr>
        <w:adjustRightInd w:val="0"/>
        <w:snapToGrid w:val="0"/>
        <w:spacing w:line="300" w:lineRule="auto"/>
        <w:jc w:val="center"/>
        <w:rPr>
          <w:rFonts w:ascii="华文新魏" w:hAnsi="新宋体" w:eastAsia="楷体_GB2312"/>
          <w:b/>
          <w:sz w:val="84"/>
          <w:szCs w:val="84"/>
        </w:rPr>
      </w:pPr>
      <w:r>
        <w:rPr>
          <w:rFonts w:hint="eastAsia" w:ascii="华文新魏" w:hAnsi="新宋体" w:eastAsia="楷体_GB2312"/>
          <w:b/>
          <w:sz w:val="84"/>
          <w:szCs w:val="84"/>
        </w:rPr>
        <w:t>文</w:t>
      </w:r>
    </w:p>
    <w:p>
      <w:pPr>
        <w:adjustRightInd w:val="0"/>
        <w:snapToGrid w:val="0"/>
        <w:spacing w:line="300" w:lineRule="auto"/>
        <w:jc w:val="center"/>
        <w:rPr>
          <w:rFonts w:ascii="华文新魏" w:hAnsi="新宋体" w:eastAsia="华文新魏"/>
          <w:sz w:val="84"/>
          <w:szCs w:val="84"/>
        </w:rPr>
      </w:pPr>
      <w:r>
        <w:rPr>
          <w:rFonts w:hint="eastAsia" w:ascii="华文新魏" w:hAnsi="新宋体" w:eastAsia="楷体_GB2312"/>
          <w:b/>
          <w:sz w:val="84"/>
          <w:szCs w:val="84"/>
        </w:rPr>
        <w:t>件</w:t>
      </w:r>
    </w:p>
    <w:p>
      <w:pPr>
        <w:adjustRightInd w:val="0"/>
        <w:snapToGrid w:val="0"/>
        <w:spacing w:line="300" w:lineRule="auto"/>
        <w:rPr>
          <w:rFonts w:ascii="新宋体" w:hAnsi="新宋体" w:eastAsia="新宋体"/>
          <w:b/>
          <w:sz w:val="30"/>
        </w:rPr>
      </w:pPr>
    </w:p>
    <w:p>
      <w:pPr>
        <w:adjustRightInd w:val="0"/>
        <w:snapToGrid w:val="0"/>
        <w:spacing w:line="300" w:lineRule="auto"/>
        <w:rPr>
          <w:rFonts w:ascii="新宋体" w:hAnsi="新宋体" w:eastAsia="新宋体"/>
          <w:b/>
          <w:sz w:val="30"/>
        </w:rPr>
      </w:pPr>
    </w:p>
    <w:p>
      <w:pPr>
        <w:adjustRightInd w:val="0"/>
        <w:snapToGrid w:val="0"/>
        <w:spacing w:line="300" w:lineRule="auto"/>
        <w:rPr>
          <w:rFonts w:ascii="新宋体" w:hAnsi="新宋体" w:eastAsia="新宋体"/>
          <w:b/>
          <w:sz w:val="30"/>
        </w:rPr>
      </w:pPr>
    </w:p>
    <w:p>
      <w:pPr>
        <w:adjustRightInd w:val="0"/>
        <w:snapToGrid w:val="0"/>
        <w:spacing w:line="300" w:lineRule="auto"/>
        <w:rPr>
          <w:rFonts w:ascii="新宋体" w:hAnsi="新宋体" w:eastAsia="新宋体"/>
          <w:b/>
          <w:sz w:val="30"/>
          <w:highlight w:val="none"/>
        </w:rPr>
      </w:pPr>
    </w:p>
    <w:p>
      <w:pPr>
        <w:adjustRightInd w:val="0"/>
        <w:snapToGrid w:val="0"/>
        <w:spacing w:line="300" w:lineRule="auto"/>
        <w:ind w:left="850" w:leftChars="405" w:firstLine="1834" w:firstLineChars="571"/>
        <w:rPr>
          <w:rFonts w:ascii="新宋体" w:hAnsi="新宋体" w:eastAsia="新宋体"/>
          <w:b/>
          <w:sz w:val="32"/>
          <w:szCs w:val="32"/>
          <w:highlight w:val="none"/>
        </w:rPr>
      </w:pPr>
      <w:r>
        <w:rPr>
          <w:rFonts w:hint="eastAsia" w:ascii="新宋体" w:hAnsi="新宋体" w:eastAsia="新宋体"/>
          <w:b/>
          <w:sz w:val="32"/>
          <w:szCs w:val="32"/>
          <w:highlight w:val="none"/>
        </w:rPr>
        <w:t>项目编号： GWZB202</w:t>
      </w:r>
      <w:r>
        <w:rPr>
          <w:rFonts w:hint="eastAsia" w:ascii="新宋体" w:hAnsi="新宋体" w:eastAsia="新宋体"/>
          <w:b/>
          <w:sz w:val="32"/>
          <w:szCs w:val="32"/>
          <w:highlight w:val="none"/>
          <w:lang w:val="en-US" w:eastAsia="zh-CN"/>
        </w:rPr>
        <w:t>4</w:t>
      </w:r>
      <w:r>
        <w:rPr>
          <w:rFonts w:hint="eastAsia" w:ascii="新宋体" w:hAnsi="新宋体" w:eastAsia="新宋体"/>
          <w:b/>
          <w:sz w:val="32"/>
          <w:szCs w:val="32"/>
          <w:highlight w:val="none"/>
        </w:rPr>
        <w:t>-</w:t>
      </w:r>
      <w:r>
        <w:rPr>
          <w:rFonts w:hint="eastAsia" w:ascii="新宋体" w:hAnsi="新宋体" w:eastAsia="新宋体"/>
          <w:b/>
          <w:sz w:val="32"/>
          <w:szCs w:val="32"/>
          <w:highlight w:val="none"/>
          <w:lang w:val="en-US" w:eastAsia="zh-CN"/>
        </w:rPr>
        <w:t>03</w:t>
      </w:r>
      <w:r>
        <w:rPr>
          <w:rFonts w:ascii="新宋体" w:hAnsi="新宋体" w:eastAsia="新宋体"/>
          <w:b/>
          <w:sz w:val="32"/>
          <w:szCs w:val="32"/>
          <w:highlight w:val="none"/>
        </w:rPr>
        <w:t xml:space="preserve"> </w:t>
      </w:r>
    </w:p>
    <w:p>
      <w:pPr>
        <w:adjustRightInd w:val="0"/>
        <w:snapToGrid w:val="0"/>
        <w:spacing w:line="300" w:lineRule="auto"/>
        <w:ind w:left="850" w:leftChars="405" w:firstLine="1834" w:firstLineChars="571"/>
        <w:rPr>
          <w:rFonts w:ascii="新宋体" w:hAnsi="新宋体" w:eastAsia="新宋体"/>
          <w:b/>
          <w:sz w:val="32"/>
          <w:szCs w:val="32"/>
          <w:highlight w:val="none"/>
        </w:rPr>
      </w:pPr>
      <w:r>
        <w:rPr>
          <w:rFonts w:hint="eastAsia" w:ascii="新宋体" w:hAnsi="新宋体" w:eastAsia="新宋体"/>
          <w:b/>
          <w:sz w:val="32"/>
          <w:szCs w:val="32"/>
          <w:highlight w:val="none"/>
        </w:rPr>
        <w:t>招 标 人：广东外语外贸大学</w:t>
      </w:r>
    </w:p>
    <w:p>
      <w:pPr>
        <w:adjustRightInd w:val="0"/>
        <w:snapToGrid w:val="0"/>
        <w:spacing w:line="300" w:lineRule="auto"/>
        <w:ind w:firstLine="3855" w:firstLineChars="1200"/>
        <w:rPr>
          <w:rFonts w:ascii="新宋体" w:hAnsi="新宋体" w:eastAsia="新宋体"/>
          <w:b/>
          <w:sz w:val="32"/>
          <w:szCs w:val="32"/>
          <w:highlight w:val="none"/>
        </w:rPr>
      </w:pPr>
      <w:r>
        <w:rPr>
          <w:rFonts w:hint="eastAsia" w:ascii="新宋体" w:hAnsi="新宋体" w:eastAsia="新宋体"/>
          <w:b/>
          <w:sz w:val="32"/>
          <w:szCs w:val="32"/>
          <w:highlight w:val="none"/>
        </w:rPr>
        <w:t>202</w:t>
      </w:r>
      <w:r>
        <w:rPr>
          <w:rFonts w:hint="eastAsia" w:ascii="新宋体" w:hAnsi="新宋体" w:eastAsia="新宋体"/>
          <w:b/>
          <w:sz w:val="32"/>
          <w:szCs w:val="32"/>
          <w:highlight w:val="none"/>
          <w:lang w:val="en-US" w:eastAsia="zh-CN"/>
        </w:rPr>
        <w:t>4</w:t>
      </w:r>
      <w:r>
        <w:rPr>
          <w:rFonts w:hint="eastAsia" w:ascii="新宋体" w:hAnsi="新宋体" w:eastAsia="新宋体"/>
          <w:b/>
          <w:sz w:val="32"/>
          <w:szCs w:val="32"/>
          <w:highlight w:val="none"/>
        </w:rPr>
        <w:t>年</w:t>
      </w:r>
      <w:r>
        <w:rPr>
          <w:rFonts w:ascii="新宋体" w:hAnsi="新宋体" w:eastAsia="新宋体"/>
          <w:b/>
          <w:sz w:val="32"/>
          <w:szCs w:val="32"/>
          <w:highlight w:val="none"/>
        </w:rPr>
        <w:t xml:space="preserve"> </w:t>
      </w:r>
      <w:r>
        <w:rPr>
          <w:rFonts w:hint="eastAsia" w:ascii="新宋体" w:hAnsi="新宋体" w:eastAsia="新宋体"/>
          <w:b/>
          <w:sz w:val="32"/>
          <w:szCs w:val="32"/>
          <w:highlight w:val="none"/>
          <w:lang w:val="en-US" w:eastAsia="zh-CN"/>
        </w:rPr>
        <w:t>4</w:t>
      </w:r>
      <w:r>
        <w:rPr>
          <w:rFonts w:ascii="新宋体" w:hAnsi="新宋体" w:eastAsia="新宋体"/>
          <w:b/>
          <w:sz w:val="32"/>
          <w:szCs w:val="32"/>
          <w:highlight w:val="none"/>
        </w:rPr>
        <w:t xml:space="preserve"> </w:t>
      </w:r>
      <w:r>
        <w:rPr>
          <w:rFonts w:hint="eastAsia" w:ascii="新宋体" w:hAnsi="新宋体" w:eastAsia="新宋体"/>
          <w:b/>
          <w:sz w:val="32"/>
          <w:szCs w:val="32"/>
          <w:highlight w:val="none"/>
        </w:rPr>
        <w:t>月</w:t>
      </w:r>
    </w:p>
    <w:p>
      <w:pPr>
        <w:adjustRightInd w:val="0"/>
        <w:snapToGrid w:val="0"/>
        <w:spacing w:line="300" w:lineRule="auto"/>
        <w:jc w:val="center"/>
        <w:rPr>
          <w:rFonts w:ascii="新宋体" w:hAnsi="新宋体" w:eastAsia="新宋体"/>
          <w:b/>
          <w:sz w:val="32"/>
          <w:szCs w:val="32"/>
          <w:highlight w:val="none"/>
        </w:rPr>
      </w:pPr>
    </w:p>
    <w:p>
      <w:pPr>
        <w:adjustRightInd w:val="0"/>
        <w:snapToGrid w:val="0"/>
        <w:spacing w:line="300" w:lineRule="auto"/>
        <w:jc w:val="center"/>
        <w:rPr>
          <w:rFonts w:ascii="新宋体" w:hAnsi="新宋体" w:eastAsia="新宋体"/>
          <w:b/>
          <w:sz w:val="32"/>
          <w:szCs w:val="32"/>
          <w:highlight w:val="none"/>
        </w:rPr>
        <w:sectPr>
          <w:footerReference r:id="rId6" w:type="first"/>
          <w:headerReference r:id="rId3" w:type="default"/>
          <w:footerReference r:id="rId4" w:type="default"/>
          <w:footerReference r:id="rId5" w:type="even"/>
          <w:pgSz w:w="11906" w:h="16838"/>
          <w:pgMar w:top="1418" w:right="1134" w:bottom="1418" w:left="1247" w:header="850" w:footer="850" w:gutter="0"/>
          <w:cols w:space="720" w:num="1"/>
          <w:docGrid w:type="lines" w:linePitch="312" w:charSpace="0"/>
        </w:sectPr>
      </w:pPr>
    </w:p>
    <w:p>
      <w:pPr>
        <w:spacing w:line="360" w:lineRule="auto"/>
        <w:jc w:val="center"/>
      </w:pPr>
      <w:r>
        <w:rPr>
          <w:rFonts w:hint="eastAsia" w:ascii="宋体" w:hAnsi="宋体" w:cs="宋体"/>
          <w:b/>
          <w:sz w:val="52"/>
          <w:szCs w:val="44"/>
        </w:rPr>
        <w:t>目   录</w:t>
      </w:r>
      <w:r>
        <w:rPr>
          <w:rFonts w:hint="eastAsia" w:ascii="宋体" w:hAnsi="宋体" w:cs="宋体"/>
          <w:sz w:val="24"/>
        </w:rPr>
        <w:fldChar w:fldCharType="begin"/>
      </w:r>
      <w:r>
        <w:rPr>
          <w:rFonts w:hint="eastAsia" w:ascii="宋体" w:hAnsi="宋体" w:cs="宋体"/>
          <w:sz w:val="24"/>
        </w:rPr>
        <w:instrText xml:space="preserve"> TOC \o "1-3" \h \z \u </w:instrText>
      </w:r>
      <w:r>
        <w:rPr>
          <w:rFonts w:hint="eastAsia" w:ascii="宋体" w:hAnsi="宋体" w:cs="宋体"/>
          <w:sz w:val="24"/>
        </w:rPr>
        <w:fldChar w:fldCharType="separate"/>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"_Toc136009902" </w:instrText>
      </w:r>
      <w:r>
        <w:fldChar w:fldCharType="separate"/>
      </w:r>
      <w:r>
        <w:rPr>
          <w:rStyle w:val="76"/>
          <w:rFonts w:ascii="宋体" w:hAnsi="宋体" w:cs="宋体"/>
          <w:color w:val="auto"/>
        </w:rPr>
        <w:t>一、工程概况</w:t>
      </w:r>
      <w:r>
        <w:tab/>
      </w:r>
      <w:r>
        <w:fldChar w:fldCharType="begin"/>
      </w:r>
      <w:r>
        <w:instrText xml:space="preserve"> PAGEREF _Toc136009902 \h </w:instrText>
      </w:r>
      <w:r>
        <w:fldChar w:fldCharType="separate"/>
      </w:r>
      <w:r>
        <w:t>4</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"_Toc136009903" </w:instrText>
      </w:r>
      <w:r>
        <w:fldChar w:fldCharType="separate"/>
      </w:r>
      <w:r>
        <w:rPr>
          <w:rStyle w:val="76"/>
          <w:rFonts w:ascii="宋体" w:hAnsi="宋体" w:cs="宋体"/>
          <w:color w:val="auto"/>
        </w:rPr>
        <w:t>二、招标方式、招标范围</w:t>
      </w:r>
      <w:r>
        <w:tab/>
      </w:r>
      <w:r>
        <w:fldChar w:fldCharType="begin"/>
      </w:r>
      <w:r>
        <w:instrText xml:space="preserve"> PAGEREF _Toc136009903 \h </w:instrText>
      </w:r>
      <w:r>
        <w:fldChar w:fldCharType="separate"/>
      </w:r>
      <w:r>
        <w:t>4</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"_Toc136009904" </w:instrText>
      </w:r>
      <w:r>
        <w:fldChar w:fldCharType="separate"/>
      </w:r>
      <w:r>
        <w:rPr>
          <w:rStyle w:val="76"/>
          <w:rFonts w:ascii="宋体" w:hAnsi="宋体" w:cs="宋体"/>
          <w:color w:val="auto"/>
        </w:rPr>
        <w:t>三、工程承包方式</w:t>
      </w:r>
      <w:r>
        <w:tab/>
      </w:r>
      <w:r>
        <w:fldChar w:fldCharType="begin"/>
      </w:r>
      <w:r>
        <w:instrText xml:space="preserve"> PAGEREF _Toc136009904 \h </w:instrText>
      </w:r>
      <w:r>
        <w:fldChar w:fldCharType="separate"/>
      </w:r>
      <w:r>
        <w:t>5</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"_Toc136009905" </w:instrText>
      </w:r>
      <w:r>
        <w:fldChar w:fldCharType="separate"/>
      </w:r>
      <w:r>
        <w:rPr>
          <w:rStyle w:val="76"/>
          <w:rFonts w:ascii="宋体" w:hAnsi="宋体" w:cs="宋体"/>
          <w:color w:val="auto"/>
        </w:rPr>
        <w:t>四、工程质量和使用材料要求</w:t>
      </w:r>
      <w:r>
        <w:tab/>
      </w:r>
      <w:r>
        <w:fldChar w:fldCharType="begin"/>
      </w:r>
      <w:r>
        <w:instrText xml:space="preserve"> PAGEREF _Toc136009905 \h </w:instrText>
      </w:r>
      <w:r>
        <w:fldChar w:fldCharType="separate"/>
      </w:r>
      <w:r>
        <w:t>5</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"_Toc136009906" </w:instrText>
      </w:r>
      <w:r>
        <w:fldChar w:fldCharType="separate"/>
      </w:r>
      <w:r>
        <w:rPr>
          <w:rStyle w:val="76"/>
          <w:rFonts w:ascii="宋体" w:hAnsi="宋体" w:cs="宋体"/>
          <w:color w:val="auto"/>
        </w:rPr>
        <w:t>五、工程工期和保修期</w:t>
      </w:r>
      <w:r>
        <w:tab/>
      </w:r>
      <w:r>
        <w:fldChar w:fldCharType="begin"/>
      </w:r>
      <w:r>
        <w:instrText xml:space="preserve"> PAGEREF _Toc136009906 \h </w:instrText>
      </w:r>
      <w:r>
        <w:fldChar w:fldCharType="separate"/>
      </w:r>
      <w:r>
        <w:t>5</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"_Toc136009907" </w:instrText>
      </w:r>
      <w:r>
        <w:fldChar w:fldCharType="separate"/>
      </w:r>
      <w:r>
        <w:rPr>
          <w:rStyle w:val="76"/>
          <w:rFonts w:ascii="宋体" w:hAnsi="宋体" w:cs="宋体"/>
          <w:color w:val="auto"/>
        </w:rPr>
        <w:t>六、投标编制原则、依据及投标书要求</w:t>
      </w:r>
      <w:r>
        <w:tab/>
      </w:r>
      <w:r>
        <w:fldChar w:fldCharType="begin"/>
      </w:r>
      <w:r>
        <w:instrText xml:space="preserve"> PAGEREF _Toc136009907 \h </w:instrText>
      </w:r>
      <w:r>
        <w:fldChar w:fldCharType="separate"/>
      </w:r>
      <w:r>
        <w:t>6</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"_Toc136009908" </w:instrText>
      </w:r>
      <w:r>
        <w:fldChar w:fldCharType="separate"/>
      </w:r>
      <w:r>
        <w:rPr>
          <w:rStyle w:val="76"/>
          <w:rFonts w:ascii="宋体" w:hAnsi="宋体" w:cs="宋体"/>
          <w:color w:val="auto"/>
        </w:rPr>
        <w:t>七、工程价款</w:t>
      </w:r>
      <w:r>
        <w:rPr>
          <w:rStyle w:val="76"/>
          <w:rFonts w:hint="eastAsia" w:ascii="宋体" w:hAnsi="宋体" w:cs="宋体"/>
          <w:color w:val="auto"/>
        </w:rPr>
        <w:t>支付</w:t>
      </w:r>
      <w:r>
        <w:rPr>
          <w:rStyle w:val="76"/>
          <w:rFonts w:ascii="宋体" w:hAnsi="宋体" w:cs="宋体"/>
          <w:color w:val="auto"/>
        </w:rPr>
        <w:t>方式</w:t>
      </w:r>
      <w:r>
        <w:tab/>
      </w:r>
      <w:r>
        <w:fldChar w:fldCharType="begin"/>
      </w:r>
      <w:r>
        <w:instrText xml:space="preserve"> PAGEREF _Toc136009908 \h </w:instrText>
      </w:r>
      <w:r>
        <w:fldChar w:fldCharType="separate"/>
      </w:r>
      <w:r>
        <w:t>9</w:t>
      </w:r>
      <w:r>
        <w:fldChar w:fldCharType="end"/>
      </w:r>
      <w:r>
        <w:fldChar w:fldCharType="end"/>
      </w:r>
    </w:p>
    <w:p>
      <w:pPr>
        <w:pStyle w:val="56"/>
      </w:pPr>
      <w:r>
        <w:fldChar w:fldCharType="begin"/>
      </w:r>
      <w:r>
        <w:instrText xml:space="preserve"> HYPERLINK \l "_Toc136009908" </w:instrText>
      </w:r>
      <w:r>
        <w:fldChar w:fldCharType="separate"/>
      </w:r>
      <w:r>
        <w:rPr>
          <w:rStyle w:val="76"/>
          <w:rFonts w:hint="eastAsia" w:ascii="宋体" w:hAnsi="宋体" w:cs="宋体"/>
          <w:color w:val="auto"/>
        </w:rPr>
        <w:t>八</w:t>
      </w:r>
      <w:r>
        <w:rPr>
          <w:rStyle w:val="76"/>
          <w:rFonts w:ascii="宋体" w:hAnsi="宋体" w:cs="宋体"/>
          <w:color w:val="auto"/>
        </w:rPr>
        <w:t>、</w:t>
      </w:r>
      <w:r>
        <w:rPr>
          <w:rStyle w:val="76"/>
          <w:rFonts w:hint="eastAsia" w:ascii="宋体" w:hAnsi="宋体" w:cs="宋体"/>
          <w:color w:val="auto"/>
        </w:rPr>
        <w:t>工程价款调整及结算方式</w:t>
      </w:r>
      <w:r>
        <w:tab/>
      </w:r>
      <w:r>
        <w:rPr>
          <w:rFonts w:hint="eastAsia"/>
        </w:rPr>
        <w:t>1</w:t>
      </w:r>
      <w:r>
        <w:rPr>
          <w:rFonts w:hint="eastAsia"/>
        </w:rPr>
        <w:fldChar w:fldCharType="end"/>
      </w:r>
      <w:r>
        <w:rPr>
          <w:rFonts w:hint="eastAsia"/>
        </w:rPr>
        <w:t>0</w:t>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"_Toc136009909" </w:instrText>
      </w:r>
      <w:r>
        <w:fldChar w:fldCharType="separate"/>
      </w:r>
      <w:r>
        <w:rPr>
          <w:rStyle w:val="76"/>
          <w:rFonts w:hint="eastAsia" w:ascii="宋体" w:hAnsi="宋体" w:cs="宋体"/>
          <w:color w:val="auto"/>
        </w:rPr>
        <w:t>九</w:t>
      </w:r>
      <w:r>
        <w:rPr>
          <w:rStyle w:val="76"/>
          <w:rFonts w:ascii="宋体" w:hAnsi="宋体" w:cs="宋体"/>
          <w:color w:val="auto"/>
        </w:rPr>
        <w:t>、履约保证金</w:t>
      </w:r>
      <w:r>
        <w:tab/>
      </w:r>
      <w:r>
        <w:fldChar w:fldCharType="begin"/>
      </w:r>
      <w:r>
        <w:instrText xml:space="preserve"> PAGEREF _Toc136009909 \h </w:instrText>
      </w:r>
      <w:r>
        <w:fldChar w:fldCharType="separate"/>
      </w:r>
      <w:r>
        <w:t>12</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"_Toc136009910" </w:instrText>
      </w:r>
      <w:r>
        <w:fldChar w:fldCharType="separate"/>
      </w:r>
      <w:r>
        <w:rPr>
          <w:rStyle w:val="76"/>
          <w:rFonts w:hint="eastAsia" w:ascii="宋体" w:hAnsi="宋体" w:cs="宋体"/>
          <w:color w:val="auto"/>
        </w:rPr>
        <w:t>十</w:t>
      </w:r>
      <w:r>
        <w:rPr>
          <w:rStyle w:val="76"/>
          <w:rFonts w:ascii="宋体" w:hAnsi="宋体" w:cs="宋体"/>
          <w:color w:val="auto"/>
        </w:rPr>
        <w:t>、合同的签订</w:t>
      </w:r>
      <w:r>
        <w:tab/>
      </w:r>
      <w:r>
        <w:fldChar w:fldCharType="begin"/>
      </w:r>
      <w:r>
        <w:instrText xml:space="preserve"> PAGEREF _Toc136009910 \h </w:instrText>
      </w:r>
      <w:r>
        <w:fldChar w:fldCharType="separate"/>
      </w:r>
      <w:r>
        <w:t>12</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"_Toc136009911" </w:instrText>
      </w:r>
      <w:r>
        <w:fldChar w:fldCharType="separate"/>
      </w:r>
      <w:r>
        <w:rPr>
          <w:rStyle w:val="76"/>
          <w:rFonts w:ascii="宋体" w:hAnsi="宋体" w:cs="宋体"/>
          <w:color w:val="auto"/>
        </w:rPr>
        <w:t>十</w:t>
      </w:r>
      <w:r>
        <w:rPr>
          <w:rStyle w:val="76"/>
          <w:rFonts w:hint="eastAsia" w:ascii="宋体" w:hAnsi="宋体" w:cs="宋体"/>
          <w:color w:val="auto"/>
        </w:rPr>
        <w:t>一</w:t>
      </w:r>
      <w:r>
        <w:rPr>
          <w:rStyle w:val="76"/>
          <w:rFonts w:ascii="宋体" w:hAnsi="宋体" w:cs="宋体"/>
          <w:color w:val="auto"/>
        </w:rPr>
        <w:t>、注意事项</w:t>
      </w:r>
      <w:r>
        <w:tab/>
      </w:r>
      <w:r>
        <w:fldChar w:fldCharType="begin"/>
      </w:r>
      <w:r>
        <w:instrText xml:space="preserve"> PAGEREF _Toc136009911 \h </w:instrText>
      </w:r>
      <w:r>
        <w:fldChar w:fldCharType="separate"/>
      </w:r>
      <w:r>
        <w:t>13</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"_Toc136009912" </w:instrText>
      </w:r>
      <w:r>
        <w:fldChar w:fldCharType="separate"/>
      </w:r>
      <w:r>
        <w:rPr>
          <w:rStyle w:val="76"/>
          <w:rFonts w:ascii="宋体" w:hAnsi="宋体" w:cs="宋体"/>
          <w:color w:val="auto"/>
        </w:rPr>
        <w:t>十</w:t>
      </w:r>
      <w:r>
        <w:rPr>
          <w:rStyle w:val="76"/>
          <w:rFonts w:hint="eastAsia" w:ascii="宋体" w:hAnsi="宋体" w:cs="宋体"/>
          <w:color w:val="auto"/>
        </w:rPr>
        <w:t>二</w:t>
      </w:r>
      <w:r>
        <w:rPr>
          <w:rStyle w:val="76"/>
          <w:rFonts w:ascii="宋体" w:hAnsi="宋体" w:cs="宋体"/>
          <w:color w:val="auto"/>
        </w:rPr>
        <w:t>、对中标人的其他要求（投标时必须考虑相关费用）</w:t>
      </w:r>
      <w:r>
        <w:tab/>
      </w:r>
      <w:r>
        <w:fldChar w:fldCharType="begin"/>
      </w:r>
      <w:r>
        <w:instrText xml:space="preserve"> PAGEREF _Toc136009912 \h </w:instrText>
      </w:r>
      <w:r>
        <w:fldChar w:fldCharType="separate"/>
      </w:r>
      <w:r>
        <w:t>13</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"_Toc136009913" </w:instrText>
      </w:r>
      <w:r>
        <w:fldChar w:fldCharType="separate"/>
      </w:r>
      <w:r>
        <w:rPr>
          <w:rStyle w:val="76"/>
          <w:rFonts w:ascii="宋体" w:hAnsi="宋体" w:cs="宋体"/>
          <w:color w:val="auto"/>
        </w:rPr>
        <w:t>十</w:t>
      </w:r>
      <w:r>
        <w:rPr>
          <w:rStyle w:val="76"/>
          <w:rFonts w:hint="eastAsia" w:ascii="宋体" w:hAnsi="宋体" w:cs="宋体"/>
          <w:color w:val="auto"/>
        </w:rPr>
        <w:t>三</w:t>
      </w:r>
      <w:r>
        <w:rPr>
          <w:rStyle w:val="76"/>
          <w:rFonts w:ascii="宋体" w:hAnsi="宋体" w:cs="宋体"/>
          <w:color w:val="auto"/>
        </w:rPr>
        <w:t>、开标、评标、定标</w:t>
      </w:r>
      <w:r>
        <w:tab/>
      </w:r>
      <w:r>
        <w:fldChar w:fldCharType="begin"/>
      </w:r>
      <w:r>
        <w:instrText xml:space="preserve"> PAGEREF _Toc136009913 \h </w:instrText>
      </w:r>
      <w:r>
        <w:fldChar w:fldCharType="separate"/>
      </w:r>
      <w:r>
        <w:t>15</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"_Toc136009914" </w:instrText>
      </w:r>
      <w:r>
        <w:fldChar w:fldCharType="separate"/>
      </w:r>
      <w:r>
        <w:rPr>
          <w:rStyle w:val="76"/>
          <w:rFonts w:ascii="宋体" w:hAnsi="宋体" w:cs="宋体"/>
          <w:color w:val="auto"/>
        </w:rPr>
        <w:t>十</w:t>
      </w:r>
      <w:r>
        <w:rPr>
          <w:rStyle w:val="76"/>
          <w:rFonts w:hint="eastAsia" w:ascii="宋体" w:hAnsi="宋体" w:cs="宋体"/>
          <w:color w:val="auto"/>
        </w:rPr>
        <w:t>四</w:t>
      </w:r>
      <w:r>
        <w:rPr>
          <w:rStyle w:val="76"/>
          <w:rFonts w:ascii="宋体" w:hAnsi="宋体" w:cs="宋体"/>
          <w:color w:val="auto"/>
        </w:rPr>
        <w:t>、评审时间</w:t>
      </w:r>
      <w:r>
        <w:tab/>
      </w:r>
      <w:r>
        <w:fldChar w:fldCharType="begin"/>
      </w:r>
      <w:r>
        <w:instrText xml:space="preserve"> PAGEREF _Toc136009914 \h </w:instrText>
      </w:r>
      <w:r>
        <w:fldChar w:fldCharType="separate"/>
      </w:r>
      <w:r>
        <w:t>19</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"_Toc136009915" </w:instrText>
      </w:r>
      <w:r>
        <w:fldChar w:fldCharType="separate"/>
      </w:r>
      <w:r>
        <w:rPr>
          <w:rStyle w:val="76"/>
          <w:rFonts w:ascii="宋体" w:hAnsi="宋体" w:cs="宋体"/>
          <w:color w:val="auto"/>
        </w:rPr>
        <w:t>十</w:t>
      </w:r>
      <w:r>
        <w:rPr>
          <w:rStyle w:val="76"/>
          <w:rFonts w:hint="eastAsia" w:ascii="宋体" w:hAnsi="宋体" w:cs="宋体"/>
          <w:color w:val="auto"/>
        </w:rPr>
        <w:t>五</w:t>
      </w:r>
      <w:r>
        <w:rPr>
          <w:rStyle w:val="76"/>
          <w:rFonts w:ascii="宋体" w:hAnsi="宋体" w:cs="宋体"/>
          <w:color w:val="auto"/>
        </w:rPr>
        <w:t>、附件</w:t>
      </w:r>
      <w:r>
        <w:tab/>
      </w:r>
      <w:r>
        <w:fldChar w:fldCharType="begin"/>
      </w:r>
      <w:r>
        <w:instrText xml:space="preserve"> PAGEREF _Toc136009915 \h </w:instrText>
      </w:r>
      <w:r>
        <w:fldChar w:fldCharType="separate"/>
      </w:r>
      <w:r>
        <w:t>19</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"_Toc136009916" </w:instrText>
      </w:r>
      <w:r>
        <w:fldChar w:fldCharType="separate"/>
      </w:r>
      <w:r>
        <w:rPr>
          <w:rStyle w:val="76"/>
          <w:rFonts w:ascii="宋体" w:hAnsi="宋体" w:cs="宋体"/>
          <w:color w:val="auto"/>
        </w:rPr>
        <w:t>附件1：投标承诺书</w:t>
      </w:r>
      <w:r>
        <w:tab/>
      </w:r>
      <w:r>
        <w:fldChar w:fldCharType="begin"/>
      </w:r>
      <w:r>
        <w:instrText xml:space="preserve"> PAGEREF _Toc136009916 \h </w:instrText>
      </w:r>
      <w:r>
        <w:fldChar w:fldCharType="separate"/>
      </w:r>
      <w:r>
        <w:t>20</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"_Toc136009917" </w:instrText>
      </w:r>
      <w:r>
        <w:fldChar w:fldCharType="separate"/>
      </w:r>
      <w:r>
        <w:rPr>
          <w:rStyle w:val="76"/>
          <w:rFonts w:ascii="宋体" w:hAnsi="宋体" w:cs="宋体"/>
          <w:color w:val="auto"/>
        </w:rPr>
        <w:t>附件2：《主要材料品牌选用表》</w:t>
      </w:r>
      <w:r>
        <w:tab/>
      </w:r>
      <w:r>
        <w:fldChar w:fldCharType="begin"/>
      </w:r>
      <w:r>
        <w:instrText xml:space="preserve"> PAGEREF _Toc136009917 \h </w:instrText>
      </w:r>
      <w:r>
        <w:fldChar w:fldCharType="separate"/>
      </w:r>
      <w:r>
        <w:t>21</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"_Toc136009918" </w:instrText>
      </w:r>
      <w:r>
        <w:fldChar w:fldCharType="separate"/>
      </w:r>
      <w:r>
        <w:rPr>
          <w:rStyle w:val="76"/>
          <w:rFonts w:ascii="宋体" w:hAnsi="宋体"/>
          <w:color w:val="auto"/>
        </w:rPr>
        <w:t>附件3：施工合同范本</w:t>
      </w:r>
      <w:r>
        <w:tab/>
      </w:r>
      <w:r>
        <w:fldChar w:fldCharType="begin"/>
      </w:r>
      <w:r>
        <w:instrText xml:space="preserve"> PAGEREF _Toc136009918 \h </w:instrText>
      </w:r>
      <w:r>
        <w:fldChar w:fldCharType="separate"/>
      </w:r>
      <w:r>
        <w:t>23</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"_Toc136009919" </w:instrText>
      </w:r>
      <w:r>
        <w:fldChar w:fldCharType="separate"/>
      </w:r>
      <w:r>
        <w:rPr>
          <w:rStyle w:val="76"/>
          <w:rFonts w:ascii="宋体" w:hAnsi="宋体"/>
          <w:color w:val="auto"/>
        </w:rPr>
        <w:t>附件4 ：法定代表人证明书、法定代表人授权委托证明书、建造师简历表的格式样板</w:t>
      </w:r>
      <w:r>
        <w:tab/>
      </w:r>
      <w:r>
        <w:fldChar w:fldCharType="begin"/>
      </w:r>
      <w:r>
        <w:instrText xml:space="preserve"> PAGEREF _Toc136009919 \h </w:instrText>
      </w:r>
      <w:r>
        <w:fldChar w:fldCharType="separate"/>
      </w:r>
      <w:r>
        <w:t>53</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"_Toc136009920" </w:instrText>
      </w:r>
      <w:r>
        <w:fldChar w:fldCharType="separate"/>
      </w:r>
      <w:r>
        <w:rPr>
          <w:rStyle w:val="76"/>
          <w:rFonts w:ascii="宋体" w:hAnsi="宋体"/>
          <w:color w:val="auto"/>
        </w:rPr>
        <w:t>附件5：施工图纸（另册）</w:t>
      </w:r>
      <w:r>
        <w:tab/>
      </w:r>
      <w:r>
        <w:fldChar w:fldCharType="begin"/>
      </w:r>
      <w:r>
        <w:instrText xml:space="preserve"> PAGEREF _Toc136009920 \h </w:instrText>
      </w:r>
      <w:r>
        <w:fldChar w:fldCharType="separate"/>
      </w:r>
      <w:r>
        <w:t>55</w:t>
      </w:r>
      <w:r>
        <w:fldChar w:fldCharType="end"/>
      </w:r>
      <w:r>
        <w:fldChar w:fldCharType="end"/>
      </w:r>
    </w:p>
    <w:p>
      <w:pPr>
        <w:pStyle w:val="56"/>
        <w:rPr>
          <w:rFonts w:asciiTheme="minorHAnsi" w:hAnsiTheme="minorHAnsi" w:eastAsiaTheme="minorEastAsia" w:cstheme="minorBidi"/>
          <w:snapToGrid/>
          <w:kern w:val="2"/>
          <w:szCs w:val="22"/>
          <w14:ligatures w14:val="standardContextual"/>
        </w:rPr>
      </w:pPr>
      <w:r>
        <w:fldChar w:fldCharType="begin"/>
      </w:r>
      <w:r>
        <w:instrText xml:space="preserve"> HYPERLINK \l "_Toc136009921" </w:instrText>
      </w:r>
      <w:r>
        <w:fldChar w:fldCharType="separate"/>
      </w:r>
      <w:r>
        <w:rPr>
          <w:rStyle w:val="76"/>
          <w:rFonts w:ascii="宋体" w:hAnsi="宋体"/>
          <w:color w:val="auto"/>
        </w:rPr>
        <w:t>附件6: 工程量清单（另册）</w:t>
      </w:r>
      <w:r>
        <w:tab/>
      </w:r>
      <w:r>
        <w:fldChar w:fldCharType="begin"/>
      </w:r>
      <w:r>
        <w:instrText xml:space="preserve"> PAGEREF _Toc136009921 \h </w:instrText>
      </w:r>
      <w:r>
        <w:fldChar w:fldCharType="separate"/>
      </w:r>
      <w:r>
        <w:t>55</w:t>
      </w:r>
      <w:r>
        <w:fldChar w:fldCharType="end"/>
      </w:r>
      <w:r>
        <w:fldChar w:fldCharType="end"/>
      </w:r>
    </w:p>
    <w:p>
      <w:pPr>
        <w:pStyle w:val="43"/>
        <w:spacing w:line="360" w:lineRule="auto"/>
        <w:rPr>
          <w:rFonts w:ascii="宋体" w:hAnsi="宋体" w:cs="宋体"/>
        </w:rPr>
        <w:sectPr>
          <w:type w:val="continuous"/>
          <w:pgSz w:w="11906" w:h="16838"/>
          <w:pgMar w:top="1418" w:right="1134" w:bottom="1418" w:left="1247" w:header="850" w:footer="850" w:gutter="0"/>
          <w:cols w:space="720" w:num="1"/>
          <w:docGrid w:type="lines" w:linePitch="312" w:charSpace="0"/>
        </w:sectPr>
      </w:pPr>
      <w:r>
        <w:rPr>
          <w:rFonts w:hint="eastAsia" w:ascii="宋体" w:hAnsi="宋体" w:cs="宋体"/>
          <w:sz w:val="24"/>
        </w:rPr>
        <w:fldChar w:fldCharType="end"/>
      </w:r>
    </w:p>
    <w:p>
      <w:pPr>
        <w:adjustRightInd w:val="0"/>
        <w:snapToGrid w:val="0"/>
        <w:spacing w:line="300" w:lineRule="auto"/>
        <w:jc w:val="center"/>
        <w:rPr>
          <w:rFonts w:ascii="宋体" w:hAnsi="宋体" w:cs="宋体"/>
          <w:b/>
          <w:sz w:val="36"/>
          <w:szCs w:val="36"/>
        </w:rPr>
      </w:pPr>
      <w:bookmarkStart w:id="0" w:name="_Toc41984475"/>
      <w:bookmarkStart w:id="1" w:name="_Toc61511576"/>
      <w:bookmarkStart w:id="2" w:name="_Toc43798407"/>
      <w:r>
        <w:rPr>
          <w:rFonts w:hint="eastAsia" w:ascii="宋体" w:hAnsi="宋体" w:cs="宋体"/>
          <w:b/>
          <w:sz w:val="36"/>
          <w:szCs w:val="36"/>
        </w:rPr>
        <w:t>招标公告</w:t>
      </w:r>
      <w:bookmarkEnd w:id="0"/>
      <w:bookmarkEnd w:id="1"/>
      <w:bookmarkEnd w:id="2"/>
    </w:p>
    <w:p>
      <w:pPr>
        <w:widowControl/>
        <w:spacing w:line="420" w:lineRule="exact"/>
        <w:ind w:firstLine="480" w:firstLineChars="200"/>
        <w:rPr>
          <w:rFonts w:ascii="宋体" w:hAnsi="宋体" w:cs="宋体"/>
          <w:sz w:val="24"/>
        </w:rPr>
      </w:pPr>
      <w:r>
        <w:rPr>
          <w:rFonts w:hint="eastAsia" w:ascii="宋体" w:hAnsi="宋体" w:cs="宋体"/>
          <w:sz w:val="24"/>
        </w:rPr>
        <w:t>广东外语外贸大学（招标人）根据《广东外语外贸大学采购管理办法》，就</w:t>
      </w:r>
      <w:r>
        <w:rPr>
          <w:rFonts w:hint="eastAsia" w:ascii="宋体" w:hAnsi="宋体" w:cs="宋体"/>
          <w:sz w:val="24"/>
          <w:lang w:eastAsia="zh-CN"/>
        </w:rPr>
        <w:t>白云山校区国际学院公共区域局部修缮项目</w:t>
      </w:r>
      <w:r>
        <w:rPr>
          <w:rFonts w:hint="eastAsia" w:ascii="宋体" w:hAnsi="宋体" w:cs="宋体"/>
          <w:sz w:val="24"/>
        </w:rPr>
        <w:t>进行公开招标，欢迎符合资格条件的投标人投标。</w:t>
      </w:r>
    </w:p>
    <w:p>
      <w:pPr>
        <w:widowControl/>
        <w:numPr>
          <w:ilvl w:val="0"/>
          <w:numId w:val="1"/>
        </w:numPr>
        <w:spacing w:line="420" w:lineRule="exact"/>
        <w:ind w:firstLine="480" w:firstLineChars="200"/>
        <w:rPr>
          <w:rFonts w:ascii="宋体" w:hAnsi="宋体" w:cs="宋体"/>
          <w:sz w:val="24"/>
        </w:rPr>
      </w:pPr>
      <w:r>
        <w:rPr>
          <w:rFonts w:hint="eastAsia" w:ascii="宋体" w:hAnsi="宋体" w:cs="宋体"/>
          <w:sz w:val="24"/>
        </w:rPr>
        <w:t>项目名称：</w:t>
      </w:r>
      <w:r>
        <w:rPr>
          <w:rFonts w:hint="eastAsia" w:ascii="宋体" w:hAnsi="宋体" w:cs="宋体"/>
          <w:sz w:val="24"/>
          <w:lang w:eastAsia="zh-CN"/>
        </w:rPr>
        <w:t>白云山校区国际学院公共区域局部修缮项目</w:t>
      </w:r>
    </w:p>
    <w:p>
      <w:pPr>
        <w:widowControl/>
        <w:numPr>
          <w:ilvl w:val="0"/>
          <w:numId w:val="1"/>
        </w:numPr>
        <w:spacing w:line="420" w:lineRule="exact"/>
        <w:ind w:firstLine="480" w:firstLineChars="200"/>
        <w:rPr>
          <w:rFonts w:ascii="宋体" w:hAnsi="宋体" w:cs="宋体"/>
          <w:sz w:val="24"/>
          <w:highlight w:val="none"/>
        </w:rPr>
      </w:pPr>
      <w:r>
        <w:rPr>
          <w:rFonts w:hint="eastAsia" w:ascii="宋体" w:hAnsi="宋体" w:cs="宋体"/>
          <w:sz w:val="24"/>
        </w:rPr>
        <w:t>项目编</w:t>
      </w:r>
      <w:r>
        <w:rPr>
          <w:rFonts w:hint="eastAsia" w:ascii="宋体" w:hAnsi="宋体" w:cs="宋体"/>
          <w:sz w:val="24"/>
          <w:highlight w:val="none"/>
        </w:rPr>
        <w:t>号：GWZB202</w:t>
      </w:r>
      <w:r>
        <w:rPr>
          <w:rFonts w:hint="eastAsia" w:ascii="宋体" w:hAnsi="宋体" w:cs="宋体"/>
          <w:sz w:val="24"/>
          <w:highlight w:val="none"/>
          <w:lang w:val="en-US" w:eastAsia="zh-CN"/>
        </w:rPr>
        <w:t>4</w:t>
      </w:r>
      <w:r>
        <w:rPr>
          <w:rFonts w:hint="eastAsia" w:ascii="宋体" w:hAnsi="宋体" w:cs="宋体"/>
          <w:sz w:val="24"/>
          <w:highlight w:val="none"/>
        </w:rPr>
        <w:t>-</w:t>
      </w:r>
      <w:r>
        <w:rPr>
          <w:rFonts w:hint="eastAsia" w:ascii="宋体" w:hAnsi="宋体" w:cs="宋体"/>
          <w:sz w:val="24"/>
          <w:highlight w:val="none"/>
          <w:lang w:val="en-US" w:eastAsia="zh-CN"/>
        </w:rPr>
        <w:t>03</w:t>
      </w:r>
    </w:p>
    <w:p>
      <w:pPr>
        <w:widowControl/>
        <w:numPr>
          <w:ilvl w:val="0"/>
          <w:numId w:val="1"/>
        </w:numPr>
        <w:spacing w:line="420" w:lineRule="exact"/>
        <w:ind w:firstLine="480" w:firstLineChars="200"/>
        <w:rPr>
          <w:rFonts w:ascii="宋体" w:hAnsi="宋体" w:cs="宋体"/>
          <w:sz w:val="24"/>
        </w:rPr>
      </w:pPr>
      <w:r>
        <w:rPr>
          <w:rFonts w:hint="eastAsia" w:ascii="宋体" w:hAnsi="宋体" w:cs="宋体"/>
          <w:sz w:val="24"/>
        </w:rPr>
        <w:t>招标控制价：</w:t>
      </w:r>
      <w:r>
        <w:rPr>
          <w:rFonts w:hint="eastAsia" w:ascii="宋体" w:hAnsi="宋体" w:cs="宋体"/>
          <w:color w:val="auto"/>
          <w:sz w:val="24"/>
          <w:highlight w:val="none"/>
        </w:rPr>
        <w:t>275123.41</w:t>
      </w:r>
      <w:r>
        <w:rPr>
          <w:rFonts w:hint="eastAsia" w:ascii="宋体" w:hAnsi="宋体" w:cs="宋体"/>
          <w:sz w:val="24"/>
        </w:rPr>
        <w:t>元</w:t>
      </w:r>
    </w:p>
    <w:p>
      <w:pPr>
        <w:widowControl/>
        <w:spacing w:line="420" w:lineRule="exact"/>
        <w:ind w:firstLine="480" w:firstLineChars="200"/>
        <w:rPr>
          <w:rFonts w:ascii="宋体" w:hAnsi="宋体" w:cs="宋体"/>
          <w:sz w:val="24"/>
        </w:rPr>
      </w:pPr>
      <w:r>
        <w:rPr>
          <w:rFonts w:hint="eastAsia" w:ascii="宋体" w:hAnsi="宋体" w:cs="宋体"/>
          <w:sz w:val="24"/>
        </w:rPr>
        <w:t>四、工程概况</w:t>
      </w:r>
    </w:p>
    <w:p>
      <w:pPr>
        <w:spacing w:line="420" w:lineRule="exact"/>
        <w:ind w:firstLine="480" w:firstLineChars="200"/>
        <w:rPr>
          <w:rFonts w:ascii="宋体" w:hAnsi="宋体" w:cs="宋体"/>
          <w:sz w:val="24"/>
        </w:rPr>
      </w:pPr>
      <w:r>
        <w:rPr>
          <w:rFonts w:hint="eastAsia" w:ascii="宋体" w:hAnsi="宋体" w:cs="宋体"/>
          <w:sz w:val="24"/>
        </w:rPr>
        <w:t>（一）工程地点：广东外语外贸大学白云山校区</w:t>
      </w:r>
    </w:p>
    <w:p>
      <w:pPr>
        <w:widowControl/>
        <w:spacing w:line="420" w:lineRule="exact"/>
        <w:ind w:firstLine="480" w:firstLineChars="200"/>
        <w:rPr>
          <w:rFonts w:ascii="宋体" w:hAnsi="宋体" w:cs="宋体"/>
          <w:sz w:val="24"/>
        </w:rPr>
      </w:pPr>
      <w:r>
        <w:rPr>
          <w:rFonts w:hint="eastAsia" w:ascii="宋体" w:hAnsi="宋体" w:cs="宋体"/>
          <w:sz w:val="24"/>
        </w:rPr>
        <w:t>（二）工程范围：本工程施工范围为</w:t>
      </w:r>
      <w:r>
        <w:rPr>
          <w:rFonts w:hint="eastAsia" w:ascii="宋体" w:hAnsi="宋体" w:cs="宋体"/>
          <w:sz w:val="24"/>
          <w:lang w:eastAsia="zh-CN"/>
        </w:rPr>
        <w:t>白云山校区国际学院公共区域局部修缮项目</w:t>
      </w:r>
      <w:r>
        <w:rPr>
          <w:rFonts w:hint="eastAsia" w:ascii="宋体" w:hAnsi="宋体" w:cs="宋体"/>
          <w:sz w:val="24"/>
        </w:rPr>
        <w:t>，详见工程量清单和施工图纸所包括的内容。</w:t>
      </w:r>
    </w:p>
    <w:p>
      <w:pPr>
        <w:widowControl/>
        <w:tabs>
          <w:tab w:val="left" w:pos="704"/>
        </w:tabs>
        <w:spacing w:line="420" w:lineRule="exact"/>
        <w:ind w:firstLine="480" w:firstLineChars="200"/>
        <w:jc w:val="left"/>
        <w:rPr>
          <w:rFonts w:ascii="宋体" w:hAnsi="宋体" w:cs="宋体"/>
          <w:sz w:val="24"/>
        </w:rPr>
      </w:pPr>
      <w:r>
        <w:rPr>
          <w:rFonts w:hint="eastAsia" w:ascii="宋体" w:hAnsi="宋体" w:cs="宋体"/>
          <w:sz w:val="24"/>
        </w:rPr>
        <w:t>（三）工程内容：</w:t>
      </w:r>
      <w:r>
        <w:rPr>
          <w:rFonts w:hint="eastAsia" w:ascii="新宋体" w:hAnsi="新宋体" w:eastAsia="新宋体" w:cs="宋体"/>
          <w:color w:val="auto"/>
          <w:sz w:val="24"/>
          <w:highlight w:val="none"/>
        </w:rPr>
        <w:t>拆除原有铁皮围墙，更换为铁艺围墙及可开关的铁艺门，两侧总长共约 23米；更换栏杆破损的钢化玻璃2块；消防通道另一侧增加铁艺围墙及可开关的铁艺门，总长约8m；更换不锈钢骨架及耐力板雨棚，拆除原有屋面保护层、防水层至结构层，重新做防水及屋面保护层等</w:t>
      </w:r>
      <w:r>
        <w:rPr>
          <w:rFonts w:hint="eastAsia" w:ascii="新宋体" w:hAnsi="新宋体" w:eastAsia="新宋体" w:cs="宋体"/>
          <w:sz w:val="24"/>
        </w:rPr>
        <w:t>工程内容事项，具体工程内容详见工程量清单和建设方确认的施工图纸所包含的工程内容。</w:t>
      </w:r>
      <w:r>
        <w:rPr>
          <w:rFonts w:hint="eastAsia" w:ascii="宋体" w:hAnsi="宋体" w:cs="宋体"/>
          <w:sz w:val="24"/>
        </w:rPr>
        <w:t xml:space="preserve">      </w:t>
      </w:r>
    </w:p>
    <w:p>
      <w:pPr>
        <w:spacing w:line="420" w:lineRule="exact"/>
        <w:ind w:firstLine="482" w:firstLineChars="200"/>
        <w:rPr>
          <w:rFonts w:ascii="宋体" w:hAnsi="宋体" w:cs="宋体"/>
          <w:sz w:val="24"/>
          <w:u w:val="single"/>
        </w:rPr>
      </w:pPr>
      <w:r>
        <w:rPr>
          <w:rFonts w:hint="eastAsia" w:ascii="宋体" w:hAnsi="宋体" w:cs="宋体"/>
          <w:b/>
          <w:bCs/>
          <w:sz w:val="24"/>
        </w:rPr>
        <w:t>注：施工时需要注意事项：中标人需保证现场的安全文明施工的同时，还要保证现场的施工噪音和施工行为不影响周边正常教学和住户的正常生活。</w:t>
      </w:r>
      <w:r>
        <w:rPr>
          <w:rFonts w:hint="eastAsia" w:ascii="宋体" w:hAnsi="宋体" w:cs="宋体"/>
          <w:sz w:val="24"/>
        </w:rPr>
        <w:t xml:space="preserve"> </w:t>
      </w:r>
    </w:p>
    <w:p>
      <w:pPr>
        <w:widowControl/>
        <w:spacing w:line="420" w:lineRule="exact"/>
        <w:ind w:firstLine="480" w:firstLineChars="200"/>
        <w:rPr>
          <w:rFonts w:ascii="宋体" w:hAnsi="宋体" w:cs="宋体"/>
          <w:b/>
          <w:sz w:val="24"/>
        </w:rPr>
      </w:pPr>
      <w:r>
        <w:rPr>
          <w:rFonts w:hint="eastAsia" w:ascii="宋体" w:hAnsi="宋体" w:cs="宋体"/>
          <w:sz w:val="24"/>
        </w:rPr>
        <w:t>（四）工程工期：</w:t>
      </w:r>
      <w:r>
        <w:rPr>
          <w:rFonts w:hint="eastAsia" w:ascii="宋体" w:hAnsi="宋体" w:cs="宋体"/>
          <w:sz w:val="24"/>
          <w:lang w:val="en-US" w:eastAsia="zh-CN"/>
        </w:rPr>
        <w:t>40</w:t>
      </w:r>
      <w:r>
        <w:rPr>
          <w:rFonts w:hint="eastAsia" w:ascii="宋体" w:hAnsi="宋体" w:cs="宋体"/>
          <w:sz w:val="24"/>
        </w:rPr>
        <w:t>个日历天</w:t>
      </w:r>
    </w:p>
    <w:p>
      <w:pPr>
        <w:widowControl/>
        <w:spacing w:line="420" w:lineRule="exact"/>
        <w:ind w:firstLine="480" w:firstLineChars="200"/>
        <w:rPr>
          <w:rFonts w:ascii="宋体" w:hAnsi="宋体" w:cs="宋体"/>
          <w:sz w:val="24"/>
        </w:rPr>
      </w:pPr>
      <w:r>
        <w:rPr>
          <w:rFonts w:hint="eastAsia" w:ascii="宋体" w:hAnsi="宋体" w:cs="宋体"/>
          <w:sz w:val="24"/>
        </w:rPr>
        <w:t>（五）工程造价</w:t>
      </w:r>
      <w:r>
        <w:rPr>
          <w:rFonts w:hint="eastAsia" w:ascii="宋体" w:hAnsi="宋体" w:cs="宋体"/>
          <w:b/>
          <w:sz w:val="24"/>
        </w:rPr>
        <w:t>：</w:t>
      </w:r>
      <w:r>
        <w:rPr>
          <w:rFonts w:hint="eastAsia" w:ascii="宋体" w:hAnsi="宋体" w:cs="宋体"/>
          <w:color w:val="auto"/>
          <w:sz w:val="24"/>
          <w:highlight w:val="none"/>
        </w:rPr>
        <w:t>本工程设置的最高报价值为275123.41元（其中暂列金额22015.13元，绿色施工安全防护措施费7681.83元，这两笔费用不作为竞争性费用）。超过最高报价值的投标报价均按无效投标处理。</w:t>
      </w:r>
      <w:r>
        <w:rPr>
          <w:rFonts w:hint="eastAsia" w:ascii="宋体" w:hAnsi="宋体"/>
          <w:sz w:val="24"/>
        </w:rPr>
        <w:t xml:space="preserve"> </w:t>
      </w:r>
      <w:r>
        <w:rPr>
          <w:rFonts w:hint="eastAsia" w:ascii="宋体" w:hAnsi="宋体" w:cs="宋体"/>
          <w:sz w:val="24"/>
        </w:rPr>
        <w:t xml:space="preserve">  </w:t>
      </w:r>
    </w:p>
    <w:p>
      <w:pPr>
        <w:widowControl/>
        <w:spacing w:line="420" w:lineRule="exact"/>
        <w:ind w:firstLine="480" w:firstLineChars="200"/>
        <w:rPr>
          <w:rFonts w:ascii="宋体" w:hAnsi="宋体" w:cs="宋体"/>
          <w:sz w:val="24"/>
        </w:rPr>
      </w:pPr>
      <w:r>
        <w:rPr>
          <w:rFonts w:hint="eastAsia" w:ascii="宋体" w:hAnsi="宋体" w:cs="宋体"/>
          <w:sz w:val="24"/>
        </w:rPr>
        <w:t>五、投标人资格要求</w:t>
      </w:r>
    </w:p>
    <w:p>
      <w:pPr>
        <w:widowControl/>
        <w:spacing w:line="420" w:lineRule="exact"/>
        <w:ind w:firstLine="480" w:firstLineChars="200"/>
        <w:jc w:val="left"/>
        <w:rPr>
          <w:rFonts w:ascii="宋体" w:hAnsi="宋体" w:cs="宋体"/>
          <w:sz w:val="24"/>
        </w:rPr>
      </w:pPr>
      <w:r>
        <w:rPr>
          <w:rFonts w:hint="eastAsia" w:ascii="宋体" w:hAnsi="宋体" w:cs="宋体"/>
          <w:sz w:val="24"/>
        </w:rPr>
        <w:t>（一）投标人具有独立法人资格，持有工商行政管理部门核发的法人营业执照，按国家法律经营，且投标人必须具有广东政府采购智慧云平台定点（装修、修缮工程）资格，服务地域为广州（提供云平台截图）。</w:t>
      </w:r>
    </w:p>
    <w:p>
      <w:pPr>
        <w:widowControl/>
        <w:spacing w:line="420" w:lineRule="exact"/>
        <w:ind w:firstLine="480" w:firstLineChars="200"/>
        <w:jc w:val="left"/>
        <w:rPr>
          <w:rFonts w:ascii="宋体" w:hAnsi="宋体" w:cs="宋体"/>
          <w:sz w:val="24"/>
        </w:rPr>
      </w:pPr>
      <w:r>
        <w:rPr>
          <w:rFonts w:hint="eastAsia" w:ascii="宋体" w:hAnsi="宋体" w:cs="宋体"/>
          <w:sz w:val="24"/>
        </w:rPr>
        <w:t>（二）投标人持有建设行政主管部门颁发的企业资质证书及安全生产许可证。</w:t>
      </w:r>
    </w:p>
    <w:p>
      <w:pPr>
        <w:widowControl/>
        <w:spacing w:line="420" w:lineRule="exact"/>
        <w:ind w:firstLine="480" w:firstLineChars="200"/>
        <w:jc w:val="left"/>
        <w:rPr>
          <w:rFonts w:ascii="宋体" w:hAnsi="宋体" w:cs="宋体"/>
          <w:sz w:val="24"/>
        </w:rPr>
      </w:pPr>
      <w:r>
        <w:rPr>
          <w:rFonts w:hint="eastAsia" w:ascii="宋体" w:hAnsi="宋体" w:cs="宋体"/>
          <w:sz w:val="24"/>
        </w:rPr>
        <w:t>（三）投标人具有有效的建筑工程施工总承包三级及以上，或建筑装修装饰工程专业承包三级及以上的资质。</w:t>
      </w:r>
    </w:p>
    <w:p>
      <w:pPr>
        <w:widowControl/>
        <w:spacing w:line="420" w:lineRule="exact"/>
        <w:ind w:firstLine="480" w:firstLineChars="200"/>
        <w:jc w:val="left"/>
        <w:rPr>
          <w:rFonts w:ascii="宋体" w:hAnsi="宋体" w:cs="宋体"/>
          <w:sz w:val="24"/>
        </w:rPr>
      </w:pPr>
      <w:r>
        <w:rPr>
          <w:rFonts w:hint="eastAsia" w:ascii="宋体" w:hAnsi="宋体" w:cs="宋体"/>
          <w:sz w:val="24"/>
        </w:rPr>
        <w:t>（四）投标人拟委派的项目负责人须具有二级（或以上）建筑工程专业的建造师资格（在有效期内的），并取得在有效期内的安全生产考核合格证。</w:t>
      </w:r>
    </w:p>
    <w:p>
      <w:pPr>
        <w:widowControl/>
        <w:spacing w:line="420" w:lineRule="exact"/>
        <w:ind w:firstLine="480" w:firstLineChars="200"/>
        <w:jc w:val="left"/>
        <w:rPr>
          <w:rFonts w:ascii="宋体" w:hAnsi="宋体" w:cs="宋体"/>
          <w:sz w:val="24"/>
        </w:rPr>
      </w:pPr>
      <w:r>
        <w:rPr>
          <w:rFonts w:hint="eastAsia" w:ascii="宋体" w:hAnsi="宋体" w:cs="宋体"/>
          <w:sz w:val="24"/>
        </w:rPr>
        <w:t>（五）投标人有依法缴纳税收和社会保障资金的良好记录；（提供纳税证明及缴纳社会保障资金材料复印件，如依法免税和依法不需要缴纳社会保障资金的，应提供相应证明文件）</w:t>
      </w:r>
    </w:p>
    <w:p>
      <w:pPr>
        <w:widowControl/>
        <w:spacing w:line="420" w:lineRule="exact"/>
        <w:ind w:firstLine="480" w:firstLineChars="200"/>
        <w:jc w:val="left"/>
        <w:rPr>
          <w:rFonts w:ascii="宋体" w:hAnsi="宋体" w:cs="宋体"/>
          <w:sz w:val="24"/>
        </w:rPr>
      </w:pPr>
      <w:r>
        <w:rPr>
          <w:rFonts w:hint="eastAsia" w:ascii="宋体" w:hAnsi="宋体" w:cs="宋体"/>
          <w:sz w:val="24"/>
        </w:rPr>
        <w:t>（六）投标人没有处于被责令停业的状态。</w:t>
      </w:r>
    </w:p>
    <w:p>
      <w:pPr>
        <w:widowControl/>
        <w:spacing w:line="420" w:lineRule="exact"/>
        <w:ind w:firstLine="480" w:firstLineChars="200"/>
        <w:jc w:val="left"/>
        <w:rPr>
          <w:rFonts w:ascii="宋体" w:hAnsi="宋体" w:cs="宋体"/>
          <w:sz w:val="24"/>
        </w:rPr>
      </w:pPr>
      <w:r>
        <w:rPr>
          <w:rFonts w:hint="eastAsia" w:ascii="宋体" w:hAnsi="宋体" w:cs="宋体"/>
          <w:sz w:val="24"/>
        </w:rPr>
        <w:t>（七）投标人没有处于被建设行政主管部门取消投标资格的处罚期内。</w:t>
      </w:r>
    </w:p>
    <w:p>
      <w:pPr>
        <w:widowControl/>
        <w:spacing w:line="420" w:lineRule="exact"/>
        <w:ind w:firstLine="480" w:firstLineChars="200"/>
        <w:jc w:val="left"/>
        <w:rPr>
          <w:rFonts w:ascii="宋体" w:hAnsi="宋体" w:cs="宋体"/>
          <w:sz w:val="24"/>
        </w:rPr>
      </w:pPr>
      <w:r>
        <w:rPr>
          <w:rFonts w:hint="eastAsia" w:ascii="宋体" w:hAnsi="宋体" w:cs="宋体"/>
          <w:sz w:val="24"/>
        </w:rPr>
        <w:t>（八）投标人没有处于财产被接管、冻结、破产的状态。</w:t>
      </w:r>
    </w:p>
    <w:p>
      <w:pPr>
        <w:widowControl/>
        <w:spacing w:line="420" w:lineRule="exact"/>
        <w:ind w:firstLine="480" w:firstLineChars="200"/>
        <w:jc w:val="left"/>
        <w:rPr>
          <w:rFonts w:ascii="宋体" w:hAnsi="宋体" w:cs="宋体"/>
          <w:sz w:val="24"/>
        </w:rPr>
      </w:pPr>
      <w:r>
        <w:rPr>
          <w:rFonts w:hint="eastAsia" w:ascii="宋体" w:hAnsi="宋体" w:cs="宋体"/>
          <w:sz w:val="24"/>
        </w:rPr>
        <w:t>（九）投标单位负责人为同一人或者存在控股、管理关系的不同单位，不得同时参加本招标项目投标。</w:t>
      </w:r>
    </w:p>
    <w:p>
      <w:pPr>
        <w:widowControl/>
        <w:spacing w:line="420" w:lineRule="exact"/>
        <w:ind w:firstLine="480" w:firstLineChars="200"/>
        <w:jc w:val="left"/>
        <w:rPr>
          <w:rFonts w:ascii="宋体" w:hAnsi="宋体" w:cs="宋体"/>
          <w:sz w:val="24"/>
          <w:highlight w:val="none"/>
        </w:rPr>
      </w:pPr>
      <w:r>
        <w:rPr>
          <w:rFonts w:hint="eastAsia" w:ascii="宋体" w:hAnsi="宋体" w:cs="宋体"/>
          <w:sz w:val="24"/>
          <w:highlight w:val="none"/>
        </w:rPr>
        <w:t>（十）投标报名截止时间202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4</w:t>
      </w:r>
      <w:r>
        <w:rPr>
          <w:rFonts w:hint="eastAsia" w:ascii="宋体" w:hAnsi="宋体" w:cs="宋体"/>
          <w:sz w:val="24"/>
          <w:highlight w:val="none"/>
        </w:rPr>
        <w:t>月前三年内投标人没有重大工程质量问题。</w:t>
      </w:r>
    </w:p>
    <w:p>
      <w:pPr>
        <w:widowControl/>
        <w:spacing w:line="420" w:lineRule="exact"/>
        <w:ind w:firstLine="480" w:firstLineChars="200"/>
        <w:jc w:val="left"/>
        <w:rPr>
          <w:rFonts w:ascii="宋体" w:hAnsi="宋体" w:cs="宋体"/>
          <w:sz w:val="24"/>
          <w:highlight w:val="none"/>
        </w:rPr>
      </w:pPr>
      <w:r>
        <w:rPr>
          <w:rFonts w:hint="eastAsia" w:ascii="宋体" w:hAnsi="宋体" w:cs="宋体"/>
          <w:sz w:val="24"/>
          <w:highlight w:val="none"/>
        </w:rPr>
        <w:t>（十一）已报名登记并在规定时间内成功缴费。</w:t>
      </w:r>
    </w:p>
    <w:p>
      <w:pPr>
        <w:widowControl/>
        <w:spacing w:line="420" w:lineRule="exact"/>
        <w:ind w:firstLine="480" w:firstLineChars="200"/>
        <w:jc w:val="left"/>
        <w:rPr>
          <w:rFonts w:ascii="宋体" w:hAnsi="宋体" w:cs="宋体"/>
          <w:sz w:val="24"/>
          <w:highlight w:val="none"/>
        </w:rPr>
      </w:pPr>
      <w:r>
        <w:rPr>
          <w:rFonts w:hint="eastAsia" w:ascii="宋体" w:hAnsi="宋体" w:cs="宋体"/>
          <w:sz w:val="24"/>
          <w:highlight w:val="none"/>
        </w:rPr>
        <w:t>（十二）本次招标不接受联合体投标。</w:t>
      </w:r>
    </w:p>
    <w:p>
      <w:pPr>
        <w:widowControl/>
        <w:spacing w:line="420" w:lineRule="exact"/>
        <w:ind w:firstLine="480" w:firstLineChars="200"/>
        <w:rPr>
          <w:rFonts w:ascii="宋体" w:hAnsi="宋体" w:cs="宋体"/>
          <w:sz w:val="24"/>
          <w:highlight w:val="none"/>
        </w:rPr>
      </w:pPr>
      <w:r>
        <w:rPr>
          <w:rFonts w:hint="eastAsia" w:ascii="宋体" w:hAnsi="宋体" w:cs="宋体"/>
          <w:sz w:val="24"/>
          <w:highlight w:val="none"/>
        </w:rPr>
        <w:t>六、投标报名的时间、方式及报名费用缴纳</w:t>
      </w:r>
    </w:p>
    <w:p>
      <w:pPr>
        <w:pStyle w:val="269"/>
        <w:spacing w:line="420" w:lineRule="exact"/>
        <w:ind w:firstLine="480"/>
        <w:rPr>
          <w:rFonts w:ascii="宋体" w:hAnsi="宋体" w:cs="宋体"/>
          <w:sz w:val="24"/>
          <w:highlight w:val="none"/>
        </w:rPr>
      </w:pPr>
      <w:r>
        <w:rPr>
          <w:rFonts w:hint="eastAsia" w:ascii="宋体" w:hAnsi="宋体" w:cs="宋体"/>
          <w:sz w:val="24"/>
          <w:highlight w:val="none"/>
        </w:rPr>
        <w:t>（一）投标报名时间：202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15</w:t>
      </w:r>
      <w:r>
        <w:rPr>
          <w:rFonts w:hint="eastAsia" w:ascii="宋体" w:hAnsi="宋体" w:cs="宋体"/>
          <w:sz w:val="24"/>
          <w:highlight w:val="none"/>
        </w:rPr>
        <w:t>日～202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19</w:t>
      </w:r>
      <w:r>
        <w:rPr>
          <w:rFonts w:hint="eastAsia" w:ascii="宋体" w:hAnsi="宋体" w:cs="宋体"/>
          <w:sz w:val="24"/>
          <w:highlight w:val="none"/>
        </w:rPr>
        <w:t>日</w:t>
      </w:r>
    </w:p>
    <w:p>
      <w:pPr>
        <w:pStyle w:val="269"/>
        <w:spacing w:line="420" w:lineRule="exact"/>
        <w:ind w:firstLine="468" w:firstLineChars="0"/>
        <w:rPr>
          <w:rFonts w:ascii="宋体" w:hAnsi="宋体" w:cs="宋体"/>
          <w:sz w:val="24"/>
          <w:highlight w:val="none"/>
        </w:rPr>
      </w:pPr>
      <w:r>
        <w:rPr>
          <w:rFonts w:hint="eastAsia" w:ascii="宋体" w:hAnsi="宋体" w:cs="宋体"/>
          <w:sz w:val="24"/>
          <w:highlight w:val="none"/>
        </w:rPr>
        <w:t>（二）</w:t>
      </w:r>
      <w:r>
        <w:rPr>
          <w:rFonts w:hint="eastAsia" w:ascii="宋体" w:hAnsi="宋体" w:cs="宋体"/>
          <w:bCs/>
          <w:sz w:val="24"/>
          <w:highlight w:val="none"/>
        </w:rPr>
        <w:t>报名方式及提交的资料：</w:t>
      </w:r>
      <w:r>
        <w:rPr>
          <w:rFonts w:hint="eastAsia" w:ascii="宋体" w:hAnsi="宋体" w:cs="宋体"/>
          <w:sz w:val="24"/>
          <w:highlight w:val="none"/>
        </w:rPr>
        <w:t>申请人报名时须提交的资料详见《报名资料一览表》（一式一份）以及《投标人员临时进校报备表》excel格式作为附件发电子邮件至广东外语外贸大学招标采购中心邮箱：gwzbzx@gdufs.edu.cn。邮件附件命名格式：报名项目+单位名称。</w:t>
      </w:r>
    </w:p>
    <w:p>
      <w:pPr>
        <w:pStyle w:val="269"/>
        <w:spacing w:line="420" w:lineRule="exact"/>
        <w:ind w:firstLine="468" w:firstLineChars="0"/>
        <w:rPr>
          <w:rFonts w:ascii="宋体" w:hAnsi="宋体" w:cs="宋体"/>
          <w:sz w:val="24"/>
          <w:highlight w:val="none"/>
        </w:rPr>
      </w:pPr>
      <w:r>
        <w:rPr>
          <w:rFonts w:hint="eastAsia" w:ascii="宋体" w:hAnsi="宋体" w:cs="宋体"/>
          <w:sz w:val="24"/>
          <w:highlight w:val="none"/>
        </w:rPr>
        <w:t xml:space="preserve">（三）报名费用缴纳方式：按以上要求提交资料并通过招标科审核，招标科会在资料审核通过后回复到投标人报名的邮箱地址，投标人登录我校交费大厅缴费，缴费成功后，将于开标时提供发票。       </w:t>
      </w:r>
    </w:p>
    <w:p>
      <w:pPr>
        <w:spacing w:line="420" w:lineRule="exact"/>
        <w:ind w:firstLine="480" w:firstLineChars="200"/>
        <w:rPr>
          <w:rFonts w:ascii="宋体" w:hAnsi="宋体" w:cs="宋体"/>
          <w:sz w:val="24"/>
          <w:highlight w:val="none"/>
        </w:rPr>
      </w:pPr>
      <w:r>
        <w:rPr>
          <w:rFonts w:hint="eastAsia" w:ascii="宋体" w:hAnsi="宋体" w:cs="宋体"/>
          <w:sz w:val="24"/>
          <w:highlight w:val="none"/>
        </w:rPr>
        <w:t>（四）获取招标文件的方式：网上自行下载</w:t>
      </w:r>
    </w:p>
    <w:p>
      <w:pPr>
        <w:spacing w:line="420" w:lineRule="exact"/>
        <w:ind w:firstLine="480" w:firstLineChars="200"/>
        <w:rPr>
          <w:rFonts w:ascii="宋体" w:hAnsi="宋体" w:cs="宋体"/>
          <w:sz w:val="24"/>
          <w:highlight w:val="none"/>
        </w:rPr>
      </w:pPr>
      <w:r>
        <w:rPr>
          <w:rFonts w:hint="eastAsia" w:ascii="宋体" w:hAnsi="宋体" w:cs="宋体"/>
          <w:sz w:val="24"/>
          <w:highlight w:val="none"/>
        </w:rPr>
        <w:t>（五）招标文件售价：人民币300元/套（售后不退）</w:t>
      </w:r>
    </w:p>
    <w:p>
      <w:pPr>
        <w:spacing w:line="420" w:lineRule="exact"/>
        <w:ind w:firstLine="480" w:firstLineChars="200"/>
        <w:rPr>
          <w:rFonts w:ascii="宋体" w:hAnsi="宋体" w:cs="宋体"/>
          <w:sz w:val="24"/>
          <w:highlight w:val="none"/>
        </w:rPr>
      </w:pPr>
      <w:r>
        <w:rPr>
          <w:rFonts w:hint="eastAsia" w:ascii="宋体" w:hAnsi="宋体" w:cs="宋体"/>
          <w:sz w:val="24"/>
          <w:highlight w:val="none"/>
        </w:rPr>
        <w:t>（六）缴费截止时间：202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22</w:t>
      </w:r>
      <w:r>
        <w:rPr>
          <w:rFonts w:hint="eastAsia" w:ascii="宋体" w:hAnsi="宋体" w:cs="宋体"/>
          <w:sz w:val="24"/>
          <w:highlight w:val="none"/>
        </w:rPr>
        <w:t>日</w:t>
      </w:r>
      <w:r>
        <w:rPr>
          <w:rFonts w:ascii="宋体" w:hAnsi="宋体" w:cs="宋体"/>
          <w:sz w:val="24"/>
          <w:highlight w:val="none"/>
        </w:rPr>
        <w:t>24</w:t>
      </w:r>
      <w:r>
        <w:rPr>
          <w:rFonts w:hint="eastAsia" w:ascii="宋体" w:hAnsi="宋体" w:cs="宋体"/>
          <w:sz w:val="24"/>
          <w:highlight w:val="none"/>
        </w:rPr>
        <w:t>：</w:t>
      </w:r>
      <w:r>
        <w:rPr>
          <w:rFonts w:ascii="宋体" w:hAnsi="宋体" w:cs="宋体"/>
          <w:sz w:val="24"/>
          <w:highlight w:val="none"/>
        </w:rPr>
        <w:t>00</w:t>
      </w:r>
      <w:r>
        <w:rPr>
          <w:rFonts w:hint="eastAsia" w:ascii="宋体" w:hAnsi="宋体" w:cs="宋体"/>
          <w:sz w:val="24"/>
          <w:highlight w:val="none"/>
        </w:rPr>
        <w:t xml:space="preserve"> ，逾期缴费无效。</w:t>
      </w:r>
    </w:p>
    <w:p>
      <w:pPr>
        <w:pStyle w:val="269"/>
        <w:spacing w:line="420" w:lineRule="exact"/>
        <w:ind w:firstLine="480"/>
        <w:rPr>
          <w:rFonts w:ascii="宋体" w:hAnsi="宋体" w:cs="宋体"/>
          <w:sz w:val="24"/>
          <w:highlight w:val="none"/>
        </w:rPr>
      </w:pPr>
      <w:r>
        <w:rPr>
          <w:rFonts w:hint="eastAsia" w:ascii="宋体" w:hAnsi="宋体" w:cs="宋体"/>
          <w:sz w:val="24"/>
          <w:highlight w:val="none"/>
        </w:rPr>
        <w:t>七、投标截止时间、开标时间及地点</w:t>
      </w:r>
    </w:p>
    <w:p>
      <w:pPr>
        <w:pStyle w:val="269"/>
        <w:spacing w:line="420" w:lineRule="exact"/>
        <w:ind w:firstLine="480"/>
        <w:rPr>
          <w:rFonts w:ascii="宋体" w:hAnsi="宋体" w:cs="宋体"/>
          <w:sz w:val="24"/>
          <w:highlight w:val="none"/>
        </w:rPr>
      </w:pPr>
      <w:r>
        <w:rPr>
          <w:rFonts w:hint="eastAsia" w:ascii="宋体" w:hAnsi="宋体" w:cs="宋体"/>
          <w:sz w:val="24"/>
          <w:highlight w:val="none"/>
        </w:rPr>
        <w:t>（一）投标截止及开标时间：202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30</w:t>
      </w:r>
      <w:r>
        <w:rPr>
          <w:rFonts w:hint="eastAsia" w:ascii="宋体" w:hAnsi="宋体" w:cs="宋体"/>
          <w:sz w:val="24"/>
          <w:highlight w:val="none"/>
        </w:rPr>
        <w:t>日9：30（北京时间）</w:t>
      </w:r>
    </w:p>
    <w:p>
      <w:pPr>
        <w:pStyle w:val="269"/>
        <w:spacing w:line="420" w:lineRule="exact"/>
        <w:ind w:firstLine="480"/>
        <w:rPr>
          <w:rFonts w:ascii="宋体" w:hAnsi="宋体" w:cs="宋体"/>
          <w:sz w:val="24"/>
          <w:highlight w:val="none"/>
        </w:rPr>
      </w:pPr>
      <w:r>
        <w:rPr>
          <w:rFonts w:hint="eastAsia" w:ascii="宋体" w:hAnsi="宋体" w:cs="宋体"/>
          <w:sz w:val="24"/>
          <w:highlight w:val="none"/>
        </w:rPr>
        <w:t>（二）递交投标文件及开标地点：广州市白云区白云大道北2号广东外语外贸大学后勤综合楼四楼422电子评标室</w:t>
      </w:r>
    </w:p>
    <w:p>
      <w:pPr>
        <w:pStyle w:val="269"/>
        <w:spacing w:line="420" w:lineRule="exact"/>
        <w:ind w:firstLine="480"/>
        <w:rPr>
          <w:rFonts w:ascii="宋体" w:hAnsi="宋体" w:cs="宋体"/>
          <w:sz w:val="24"/>
          <w:highlight w:val="none"/>
        </w:rPr>
      </w:pPr>
      <w:r>
        <w:rPr>
          <w:rFonts w:hint="eastAsia" w:ascii="宋体" w:hAnsi="宋体" w:cs="宋体"/>
          <w:sz w:val="24"/>
          <w:highlight w:val="none"/>
        </w:rPr>
        <w:t>八、招标机构的名称、地址和联系方式</w:t>
      </w:r>
    </w:p>
    <w:p>
      <w:pPr>
        <w:pStyle w:val="269"/>
        <w:spacing w:line="420" w:lineRule="exact"/>
        <w:ind w:firstLine="480"/>
        <w:rPr>
          <w:rFonts w:ascii="宋体" w:hAnsi="宋体" w:cs="宋体"/>
          <w:sz w:val="24"/>
          <w:highlight w:val="none"/>
        </w:rPr>
      </w:pPr>
      <w:r>
        <w:rPr>
          <w:rFonts w:hint="eastAsia" w:ascii="宋体" w:hAnsi="宋体" w:cs="宋体"/>
          <w:sz w:val="24"/>
          <w:highlight w:val="none"/>
        </w:rPr>
        <w:t>（一）招标人名称：广东外语外贸大学</w:t>
      </w:r>
    </w:p>
    <w:p>
      <w:pPr>
        <w:pStyle w:val="269"/>
        <w:spacing w:line="420" w:lineRule="exact"/>
        <w:ind w:firstLine="480"/>
        <w:rPr>
          <w:rFonts w:ascii="宋体" w:hAnsi="宋体" w:cs="宋体"/>
          <w:sz w:val="24"/>
          <w:highlight w:val="none"/>
        </w:rPr>
      </w:pPr>
      <w:r>
        <w:rPr>
          <w:rFonts w:hint="eastAsia" w:ascii="宋体" w:hAnsi="宋体" w:cs="宋体"/>
          <w:sz w:val="24"/>
          <w:highlight w:val="none"/>
        </w:rPr>
        <w:t xml:space="preserve">（二）地      址：广州市白云区白云大道北2号        </w:t>
      </w:r>
    </w:p>
    <w:p>
      <w:pPr>
        <w:pStyle w:val="269"/>
        <w:spacing w:line="420" w:lineRule="exact"/>
        <w:ind w:firstLine="480"/>
        <w:rPr>
          <w:rFonts w:ascii="宋体" w:hAnsi="宋体" w:cs="宋体"/>
          <w:sz w:val="24"/>
          <w:highlight w:val="none"/>
        </w:rPr>
      </w:pPr>
      <w:r>
        <w:rPr>
          <w:rFonts w:hint="eastAsia" w:ascii="宋体" w:hAnsi="宋体" w:cs="宋体"/>
          <w:sz w:val="24"/>
          <w:highlight w:val="none"/>
        </w:rPr>
        <w:t>（三）联系 电话：020-36207135</w:t>
      </w:r>
    </w:p>
    <w:p>
      <w:pPr>
        <w:pStyle w:val="269"/>
        <w:spacing w:line="420" w:lineRule="exact"/>
        <w:ind w:firstLine="480"/>
        <w:rPr>
          <w:rFonts w:ascii="宋体" w:hAnsi="宋体" w:cs="宋体"/>
          <w:sz w:val="24"/>
          <w:highlight w:val="none"/>
        </w:rPr>
      </w:pPr>
      <w:r>
        <w:rPr>
          <w:rFonts w:hint="eastAsia" w:ascii="宋体" w:hAnsi="宋体" w:cs="宋体"/>
          <w:sz w:val="24"/>
          <w:highlight w:val="none"/>
        </w:rPr>
        <w:t xml:space="preserve">（四）联 系 人：周老师 </w:t>
      </w:r>
    </w:p>
    <w:p>
      <w:pPr>
        <w:widowControl/>
        <w:spacing w:line="420" w:lineRule="exact"/>
        <w:ind w:firstLine="5280" w:firstLineChars="2200"/>
        <w:rPr>
          <w:rFonts w:ascii="宋体" w:hAnsi="宋体" w:cs="宋体"/>
          <w:sz w:val="24"/>
          <w:highlight w:val="none"/>
        </w:rPr>
      </w:pPr>
      <w:r>
        <w:rPr>
          <w:rFonts w:hint="eastAsia" w:ascii="宋体" w:hAnsi="宋体" w:cs="宋体"/>
          <w:sz w:val="24"/>
          <w:highlight w:val="none"/>
        </w:rPr>
        <w:t>广东外语外贸大学招标采购中心</w:t>
      </w:r>
    </w:p>
    <w:p>
      <w:pPr>
        <w:widowControl/>
        <w:tabs>
          <w:tab w:val="left" w:pos="9240"/>
        </w:tabs>
        <w:spacing w:line="420" w:lineRule="exact"/>
        <w:ind w:firstLine="6240" w:firstLineChars="2600"/>
        <w:jc w:val="center"/>
        <w:rPr>
          <w:rFonts w:ascii="宋体" w:hAnsi="宋体" w:cs="宋体"/>
          <w:b/>
          <w:sz w:val="30"/>
          <w:szCs w:val="30"/>
        </w:rPr>
      </w:pPr>
      <w:r>
        <w:rPr>
          <w:rFonts w:hint="eastAsia" w:ascii="宋体" w:hAnsi="宋体" w:cs="宋体"/>
          <w:sz w:val="24"/>
          <w:highlight w:val="none"/>
        </w:rPr>
        <w:t>202</w:t>
      </w:r>
      <w:r>
        <w:rPr>
          <w:rFonts w:hint="eastAsia" w:ascii="宋体" w:hAnsi="宋体" w:cs="宋体"/>
          <w:sz w:val="24"/>
          <w:highlight w:val="none"/>
          <w:lang w:val="en-US" w:eastAsia="zh-CN"/>
        </w:rPr>
        <w:t>4</w:t>
      </w:r>
      <w:r>
        <w:rPr>
          <w:rFonts w:hint="eastAsia" w:ascii="宋体" w:hAnsi="宋体" w:cs="宋体"/>
          <w:sz w:val="24"/>
          <w:highlight w:val="none"/>
        </w:rPr>
        <w:t>年</w:t>
      </w:r>
      <w:r>
        <w:rPr>
          <w:rFonts w:ascii="宋体" w:hAnsi="宋体" w:cs="宋体"/>
          <w:sz w:val="24"/>
          <w:highlight w:val="none"/>
        </w:rPr>
        <w:t xml:space="preserve"> </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12</w:t>
      </w:r>
      <w:r>
        <w:rPr>
          <w:rFonts w:hint="eastAsia" w:ascii="宋体" w:hAnsi="宋体" w:cs="宋体"/>
          <w:sz w:val="24"/>
          <w:highlight w:val="none"/>
        </w:rPr>
        <w:t>日</w:t>
      </w:r>
      <w:r>
        <w:rPr>
          <w:rFonts w:hint="eastAsia" w:ascii="宋体" w:hAnsi="宋体" w:cs="宋体"/>
          <w:b/>
          <w:sz w:val="30"/>
          <w:szCs w:val="30"/>
          <w:highlight w:val="none"/>
        </w:rPr>
        <w:br w:type="page"/>
      </w:r>
      <w:r>
        <w:rPr>
          <w:rFonts w:hint="eastAsia" w:ascii="宋体" w:hAnsi="宋体" w:cs="宋体"/>
          <w:b/>
          <w:sz w:val="30"/>
          <w:szCs w:val="30"/>
        </w:rPr>
        <w:t>报名资料一览表</w:t>
      </w:r>
    </w:p>
    <w:p>
      <w:pPr>
        <w:widowControl/>
        <w:snapToGrid w:val="0"/>
        <w:spacing w:line="440" w:lineRule="exact"/>
        <w:ind w:firstLine="2858" w:firstLineChars="949"/>
        <w:rPr>
          <w:rFonts w:ascii="宋体" w:hAnsi="宋体" w:cs="宋体"/>
          <w:b/>
          <w:sz w:val="30"/>
          <w:szCs w:val="30"/>
        </w:rPr>
      </w:pPr>
    </w:p>
    <w:p>
      <w:pPr>
        <w:adjustRightInd w:val="0"/>
        <w:snapToGrid w:val="0"/>
        <w:spacing w:line="300" w:lineRule="auto"/>
        <w:rPr>
          <w:rFonts w:hint="eastAsia" w:ascii="宋体" w:hAnsi="宋体" w:eastAsia="宋体" w:cs="宋体"/>
          <w:b/>
          <w:sz w:val="24"/>
          <w:lang w:eastAsia="zh-CN"/>
        </w:rPr>
      </w:pPr>
      <w:r>
        <w:rPr>
          <w:rFonts w:hint="eastAsia" w:ascii="宋体" w:hAnsi="宋体" w:cs="宋体"/>
          <w:sz w:val="24"/>
        </w:rPr>
        <w:t>工程名称：</w:t>
      </w:r>
      <w:r>
        <w:rPr>
          <w:rFonts w:hint="eastAsia" w:ascii="宋体" w:hAnsi="宋体" w:cs="宋体"/>
          <w:sz w:val="24"/>
          <w:lang w:eastAsia="zh-CN"/>
        </w:rPr>
        <w:t>白云山校区国际学院公共区域局部修缮项目</w:t>
      </w:r>
    </w:p>
    <w:p>
      <w:pPr>
        <w:adjustRightInd w:val="0"/>
        <w:snapToGrid w:val="0"/>
        <w:spacing w:line="300" w:lineRule="auto"/>
        <w:rPr>
          <w:rFonts w:ascii="宋体" w:hAnsi="宋体" w:cs="宋体"/>
          <w:sz w:val="24"/>
        </w:rPr>
      </w:pPr>
      <w:r>
        <w:rPr>
          <w:rFonts w:hint="eastAsia" w:ascii="宋体" w:hAnsi="宋体" w:cs="宋体"/>
          <w:sz w:val="24"/>
        </w:rPr>
        <w:t>投标单位（盖章）</w:t>
      </w:r>
    </w:p>
    <w:tbl>
      <w:tblPr>
        <w:tblStyle w:val="68"/>
        <w:tblW w:w="0" w:type="auto"/>
        <w:jc w:val="center"/>
        <w:tblLayout w:type="fixed"/>
        <w:tblCellMar>
          <w:top w:w="0" w:type="dxa"/>
          <w:left w:w="0" w:type="dxa"/>
          <w:bottom w:w="0" w:type="dxa"/>
          <w:right w:w="0" w:type="dxa"/>
        </w:tblCellMar>
      </w:tblPr>
      <w:tblGrid>
        <w:gridCol w:w="576"/>
        <w:gridCol w:w="4381"/>
        <w:gridCol w:w="993"/>
        <w:gridCol w:w="1275"/>
        <w:gridCol w:w="924"/>
      </w:tblGrid>
      <w:tr>
        <w:tblPrEx>
          <w:tblCellMar>
            <w:top w:w="0" w:type="dxa"/>
            <w:left w:w="0" w:type="dxa"/>
            <w:bottom w:w="0" w:type="dxa"/>
            <w:right w:w="0" w:type="dxa"/>
          </w:tblCellMar>
        </w:tblPrEx>
        <w:trPr>
          <w:cantSplit/>
          <w:trHeight w:val="481" w:hRule="atLeast"/>
          <w:tblHeader/>
          <w:jc w:val="center"/>
        </w:trPr>
        <w:tc>
          <w:tcPr>
            <w:tcW w:w="576" w:type="dxa"/>
            <w:vMerge w:val="restart"/>
            <w:tcBorders>
              <w:top w:val="single" w:color="auto" w:sz="4" w:space="0"/>
              <w:left w:val="single" w:color="auto" w:sz="4" w:space="0"/>
              <w:bottom w:val="single" w:color="auto" w:sz="8" w:space="0"/>
              <w:right w:val="single" w:color="auto" w:sz="8" w:space="0"/>
            </w:tcBorders>
            <w:vAlign w:val="center"/>
          </w:tcPr>
          <w:p>
            <w:pPr>
              <w:spacing w:line="440" w:lineRule="exact"/>
              <w:jc w:val="center"/>
              <w:rPr>
                <w:rFonts w:ascii="宋体" w:hAnsi="宋体" w:cs="宋体"/>
                <w:b/>
                <w:bCs/>
                <w:sz w:val="24"/>
              </w:rPr>
            </w:pPr>
            <w:r>
              <w:rPr>
                <w:rFonts w:hint="eastAsia" w:ascii="宋体" w:hAnsi="宋体" w:cs="宋体"/>
                <w:b/>
                <w:bCs/>
                <w:sz w:val="24"/>
              </w:rPr>
              <w:t>序号</w:t>
            </w:r>
          </w:p>
        </w:tc>
        <w:tc>
          <w:tcPr>
            <w:tcW w:w="4381" w:type="dxa"/>
            <w:vMerge w:val="restart"/>
            <w:tcBorders>
              <w:top w:val="single" w:color="auto" w:sz="4" w:space="0"/>
              <w:left w:val="nil"/>
              <w:bottom w:val="single" w:color="auto" w:sz="8" w:space="0"/>
              <w:right w:val="single" w:color="auto" w:sz="8" w:space="0"/>
            </w:tcBorders>
            <w:vAlign w:val="center"/>
          </w:tcPr>
          <w:p>
            <w:pPr>
              <w:spacing w:line="440" w:lineRule="exact"/>
              <w:jc w:val="center"/>
              <w:rPr>
                <w:rFonts w:ascii="宋体" w:hAnsi="宋体" w:cs="宋体"/>
                <w:b/>
                <w:bCs/>
                <w:sz w:val="24"/>
              </w:rPr>
            </w:pPr>
            <w:r>
              <w:rPr>
                <w:rFonts w:hint="eastAsia" w:ascii="宋体" w:hAnsi="宋体" w:cs="宋体"/>
                <w:b/>
                <w:bCs/>
                <w:sz w:val="24"/>
              </w:rPr>
              <w:t>项  目</w:t>
            </w:r>
          </w:p>
        </w:tc>
        <w:tc>
          <w:tcPr>
            <w:tcW w:w="993"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b/>
                <w:bCs/>
                <w:sz w:val="24"/>
              </w:rPr>
            </w:pPr>
            <w:r>
              <w:rPr>
                <w:rFonts w:hint="eastAsia" w:ascii="宋体" w:hAnsi="宋体" w:cs="宋体"/>
                <w:b/>
                <w:bCs/>
                <w:sz w:val="24"/>
              </w:rPr>
              <w:t>内页码</w:t>
            </w:r>
          </w:p>
        </w:tc>
        <w:tc>
          <w:tcPr>
            <w:tcW w:w="1275"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440" w:lineRule="exact"/>
              <w:jc w:val="center"/>
              <w:rPr>
                <w:rFonts w:ascii="宋体" w:hAnsi="宋体" w:cs="宋体"/>
                <w:b/>
                <w:bCs/>
                <w:sz w:val="24"/>
              </w:rPr>
            </w:pPr>
            <w:r>
              <w:rPr>
                <w:rFonts w:hint="eastAsia" w:ascii="宋体" w:hAnsi="宋体" w:cs="宋体"/>
                <w:b/>
                <w:bCs/>
                <w:sz w:val="24"/>
              </w:rPr>
              <w:t>报名提交</w:t>
            </w:r>
          </w:p>
          <w:p>
            <w:pPr>
              <w:spacing w:line="440" w:lineRule="exact"/>
              <w:jc w:val="center"/>
              <w:rPr>
                <w:rFonts w:ascii="宋体" w:hAnsi="宋体" w:cs="宋体"/>
                <w:b/>
                <w:bCs/>
                <w:sz w:val="24"/>
              </w:rPr>
            </w:pPr>
            <w:r>
              <w:rPr>
                <w:rFonts w:hint="eastAsia" w:ascii="宋体" w:hAnsi="宋体" w:cs="宋体"/>
                <w:b/>
                <w:bCs/>
                <w:sz w:val="24"/>
              </w:rPr>
              <w:t>资料要求</w:t>
            </w:r>
          </w:p>
        </w:tc>
        <w:tc>
          <w:tcPr>
            <w:tcW w:w="924" w:type="dxa"/>
            <w:vMerge w:val="restart"/>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pPr>
              <w:spacing w:line="440" w:lineRule="exact"/>
              <w:jc w:val="center"/>
              <w:rPr>
                <w:rFonts w:ascii="宋体" w:hAnsi="宋体" w:cs="宋体"/>
                <w:b/>
                <w:bCs/>
                <w:sz w:val="24"/>
              </w:rPr>
            </w:pPr>
            <w:r>
              <w:rPr>
                <w:rFonts w:hint="eastAsia" w:ascii="宋体" w:hAnsi="宋体" w:cs="宋体"/>
                <w:b/>
                <w:bCs/>
                <w:sz w:val="24"/>
              </w:rPr>
              <w:t>备注</w:t>
            </w:r>
          </w:p>
        </w:tc>
      </w:tr>
      <w:tr>
        <w:tblPrEx>
          <w:tblCellMar>
            <w:top w:w="0" w:type="dxa"/>
            <w:left w:w="0" w:type="dxa"/>
            <w:bottom w:w="0" w:type="dxa"/>
            <w:right w:w="0" w:type="dxa"/>
          </w:tblCellMar>
        </w:tblPrEx>
        <w:trPr>
          <w:cantSplit/>
          <w:trHeight w:val="922" w:hRule="atLeast"/>
          <w:tblHeader/>
          <w:jc w:val="center"/>
        </w:trPr>
        <w:tc>
          <w:tcPr>
            <w:tcW w:w="576" w:type="dxa"/>
            <w:vMerge w:val="continue"/>
            <w:tcBorders>
              <w:top w:val="nil"/>
              <w:left w:val="single" w:color="auto" w:sz="4" w:space="0"/>
              <w:bottom w:val="single" w:color="auto" w:sz="8" w:space="0"/>
              <w:right w:val="single" w:color="auto" w:sz="8" w:space="0"/>
            </w:tcBorders>
            <w:vAlign w:val="center"/>
          </w:tcPr>
          <w:p>
            <w:pPr>
              <w:spacing w:line="440" w:lineRule="exact"/>
              <w:jc w:val="left"/>
              <w:rPr>
                <w:rFonts w:ascii="宋体" w:hAnsi="宋体" w:cs="宋体"/>
                <w:sz w:val="24"/>
              </w:rPr>
            </w:pPr>
          </w:p>
        </w:tc>
        <w:tc>
          <w:tcPr>
            <w:tcW w:w="4381" w:type="dxa"/>
            <w:vMerge w:val="continue"/>
            <w:tcBorders>
              <w:top w:val="nil"/>
              <w:left w:val="nil"/>
              <w:bottom w:val="single" w:color="auto" w:sz="8" w:space="0"/>
              <w:right w:val="single" w:color="auto" w:sz="8" w:space="0"/>
            </w:tcBorders>
            <w:vAlign w:val="center"/>
          </w:tcPr>
          <w:p>
            <w:pPr>
              <w:spacing w:line="440" w:lineRule="exact"/>
              <w:jc w:val="left"/>
              <w:rPr>
                <w:rFonts w:ascii="宋体" w:hAnsi="宋体" w:cs="宋体"/>
                <w:sz w:val="24"/>
              </w:rPr>
            </w:pPr>
          </w:p>
        </w:tc>
        <w:tc>
          <w:tcPr>
            <w:tcW w:w="993" w:type="dxa"/>
            <w:vMerge w:val="continue"/>
            <w:tcBorders>
              <w:top w:val="nil"/>
              <w:left w:val="nil"/>
              <w:bottom w:val="single" w:color="auto" w:sz="8" w:space="0"/>
              <w:right w:val="single" w:color="auto" w:sz="8" w:space="0"/>
            </w:tcBorders>
            <w:vAlign w:val="center"/>
          </w:tcPr>
          <w:p>
            <w:pPr>
              <w:spacing w:line="440" w:lineRule="exact"/>
              <w:jc w:val="left"/>
              <w:rPr>
                <w:rFonts w:ascii="宋体" w:hAnsi="宋体" w:cs="宋体"/>
                <w:sz w:val="24"/>
              </w:rPr>
            </w:pPr>
          </w:p>
        </w:tc>
        <w:tc>
          <w:tcPr>
            <w:tcW w:w="1275" w:type="dxa"/>
            <w:vMerge w:val="continue"/>
            <w:tcBorders>
              <w:top w:val="nil"/>
              <w:left w:val="nil"/>
              <w:bottom w:val="single" w:color="auto" w:sz="8" w:space="0"/>
              <w:right w:val="single" w:color="auto" w:sz="8" w:space="0"/>
            </w:tcBorders>
            <w:vAlign w:val="center"/>
          </w:tcPr>
          <w:p>
            <w:pPr>
              <w:spacing w:line="440" w:lineRule="exact"/>
              <w:jc w:val="left"/>
              <w:rPr>
                <w:rFonts w:ascii="宋体" w:hAnsi="宋体" w:cs="宋体"/>
                <w:sz w:val="24"/>
              </w:rPr>
            </w:pPr>
          </w:p>
        </w:tc>
        <w:tc>
          <w:tcPr>
            <w:tcW w:w="924" w:type="dxa"/>
            <w:vMerge w:val="continue"/>
            <w:tcBorders>
              <w:top w:val="nil"/>
              <w:left w:val="nil"/>
              <w:bottom w:val="single" w:color="auto" w:sz="8" w:space="0"/>
              <w:right w:val="single" w:color="auto" w:sz="4" w:space="0"/>
            </w:tcBorders>
            <w:vAlign w:val="center"/>
          </w:tcPr>
          <w:p>
            <w:pPr>
              <w:spacing w:line="440" w:lineRule="exact"/>
              <w:jc w:val="left"/>
              <w:rPr>
                <w:rFonts w:ascii="宋体" w:hAnsi="宋体" w:cs="宋体"/>
                <w:sz w:val="24"/>
              </w:rPr>
            </w:pPr>
          </w:p>
        </w:tc>
      </w:tr>
      <w:tr>
        <w:tblPrEx>
          <w:tblCellMar>
            <w:top w:w="0" w:type="dxa"/>
            <w:left w:w="0" w:type="dxa"/>
            <w:bottom w:w="0" w:type="dxa"/>
            <w:right w:w="0" w:type="dxa"/>
          </w:tblCellMar>
        </w:tblPrEx>
        <w:trPr>
          <w:cantSplit/>
          <w:trHeight w:val="474" w:hRule="atLeast"/>
          <w:jc w:val="center"/>
        </w:trPr>
        <w:tc>
          <w:tcPr>
            <w:tcW w:w="576" w:type="dxa"/>
            <w:tcBorders>
              <w:top w:val="nil"/>
              <w:left w:val="single" w:color="auto" w:sz="4" w:space="0"/>
              <w:bottom w:val="single" w:color="auto" w:sz="8" w:space="0"/>
              <w:right w:val="single" w:color="auto" w:sz="8" w:space="0"/>
            </w:tcBorders>
            <w:vAlign w:val="center"/>
          </w:tcPr>
          <w:p>
            <w:pPr>
              <w:spacing w:line="440" w:lineRule="exact"/>
              <w:jc w:val="center"/>
              <w:rPr>
                <w:rFonts w:ascii="宋体" w:hAnsi="宋体" w:cs="宋体"/>
                <w:sz w:val="24"/>
              </w:rPr>
            </w:pPr>
            <w:r>
              <w:rPr>
                <w:rFonts w:ascii="宋体" w:hAnsi="宋体" w:cs="宋体"/>
                <w:sz w:val="24"/>
              </w:rPr>
              <w:t>1</w:t>
            </w:r>
          </w:p>
        </w:tc>
        <w:tc>
          <w:tcPr>
            <w:tcW w:w="4381" w:type="dxa"/>
            <w:tcBorders>
              <w:top w:val="nil"/>
              <w:left w:val="nil"/>
              <w:bottom w:val="single" w:color="auto" w:sz="8" w:space="0"/>
              <w:right w:val="single" w:color="auto" w:sz="8" w:space="0"/>
            </w:tcBorders>
            <w:vAlign w:val="center"/>
          </w:tcPr>
          <w:p>
            <w:pPr>
              <w:spacing w:line="360" w:lineRule="exact"/>
              <w:rPr>
                <w:rFonts w:ascii="宋体" w:hAnsi="宋体" w:cs="宋体"/>
                <w:sz w:val="24"/>
              </w:rPr>
            </w:pPr>
            <w:r>
              <w:rPr>
                <w:rFonts w:hint="eastAsia" w:ascii="宋体" w:hAnsi="宋体" w:cs="宋体"/>
                <w:sz w:val="24"/>
              </w:rPr>
              <w:t>企业法定代表人证明书</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40" w:lineRule="exact"/>
              <w:rPr>
                <w:rFonts w:ascii="宋体" w:hAnsi="宋体" w:cs="宋体"/>
                <w:sz w:val="24"/>
              </w:rPr>
            </w:pP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440" w:lineRule="exact"/>
              <w:rPr>
                <w:rFonts w:ascii="宋体" w:hAnsi="宋体" w:cs="宋体"/>
                <w:sz w:val="24"/>
              </w:rPr>
            </w:pPr>
            <w:r>
              <w:rPr>
                <w:rFonts w:hint="eastAsia" w:ascii="宋体" w:hAnsi="宋体" w:cs="宋体"/>
                <w:sz w:val="24"/>
              </w:rPr>
              <w:t>原件</w:t>
            </w:r>
          </w:p>
        </w:tc>
        <w:tc>
          <w:tcPr>
            <w:tcW w:w="924" w:type="dxa"/>
            <w:tcBorders>
              <w:top w:val="nil"/>
              <w:left w:val="nil"/>
              <w:bottom w:val="single" w:color="auto" w:sz="8" w:space="0"/>
              <w:right w:val="single" w:color="auto" w:sz="4" w:space="0"/>
            </w:tcBorders>
            <w:tcMar>
              <w:top w:w="0" w:type="dxa"/>
              <w:left w:w="108" w:type="dxa"/>
              <w:bottom w:w="0" w:type="dxa"/>
              <w:right w:w="108" w:type="dxa"/>
            </w:tcMar>
            <w:vAlign w:val="center"/>
          </w:tcPr>
          <w:p>
            <w:pPr>
              <w:spacing w:line="440" w:lineRule="exact"/>
              <w:rPr>
                <w:rFonts w:ascii="宋体" w:hAnsi="宋体" w:cs="宋体"/>
                <w:sz w:val="24"/>
              </w:rPr>
            </w:pPr>
          </w:p>
        </w:tc>
      </w:tr>
      <w:tr>
        <w:tblPrEx>
          <w:tblCellMar>
            <w:top w:w="0" w:type="dxa"/>
            <w:left w:w="0" w:type="dxa"/>
            <w:bottom w:w="0" w:type="dxa"/>
            <w:right w:w="0" w:type="dxa"/>
          </w:tblCellMar>
        </w:tblPrEx>
        <w:trPr>
          <w:cantSplit/>
          <w:trHeight w:val="471" w:hRule="atLeast"/>
          <w:jc w:val="center"/>
        </w:trPr>
        <w:tc>
          <w:tcPr>
            <w:tcW w:w="576" w:type="dxa"/>
            <w:tcBorders>
              <w:top w:val="nil"/>
              <w:left w:val="single" w:color="auto" w:sz="4" w:space="0"/>
              <w:bottom w:val="single" w:color="auto" w:sz="4" w:space="0"/>
              <w:right w:val="single" w:color="auto" w:sz="8" w:space="0"/>
            </w:tcBorders>
            <w:vAlign w:val="center"/>
          </w:tcPr>
          <w:p>
            <w:pPr>
              <w:spacing w:line="440" w:lineRule="exact"/>
              <w:jc w:val="center"/>
              <w:rPr>
                <w:rFonts w:ascii="宋体" w:hAnsi="宋体" w:cs="宋体"/>
                <w:sz w:val="24"/>
              </w:rPr>
            </w:pPr>
            <w:r>
              <w:rPr>
                <w:rFonts w:ascii="宋体" w:hAnsi="宋体" w:cs="宋体"/>
                <w:sz w:val="24"/>
              </w:rPr>
              <w:t>2</w:t>
            </w:r>
          </w:p>
        </w:tc>
        <w:tc>
          <w:tcPr>
            <w:tcW w:w="4381" w:type="dxa"/>
            <w:tcBorders>
              <w:top w:val="nil"/>
              <w:left w:val="nil"/>
              <w:bottom w:val="single" w:color="auto" w:sz="4" w:space="0"/>
              <w:right w:val="single" w:color="auto" w:sz="8" w:space="0"/>
            </w:tcBorders>
            <w:vAlign w:val="center"/>
          </w:tcPr>
          <w:p>
            <w:pPr>
              <w:spacing w:line="360" w:lineRule="exact"/>
              <w:rPr>
                <w:rFonts w:ascii="宋体" w:hAnsi="宋体" w:cs="宋体"/>
                <w:sz w:val="24"/>
              </w:rPr>
            </w:pPr>
            <w:r>
              <w:rPr>
                <w:rFonts w:hint="eastAsia" w:ascii="宋体" w:hAnsi="宋体" w:cs="宋体"/>
                <w:sz w:val="24"/>
              </w:rPr>
              <w:t>报名代表人的法定代表人授权委托书</w:t>
            </w:r>
          </w:p>
        </w:tc>
        <w:tc>
          <w:tcPr>
            <w:tcW w:w="993"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line="440" w:lineRule="exact"/>
              <w:rPr>
                <w:rFonts w:ascii="宋体" w:hAnsi="宋体" w:cs="宋体"/>
                <w:sz w:val="24"/>
              </w:rPr>
            </w:pPr>
          </w:p>
        </w:tc>
        <w:tc>
          <w:tcPr>
            <w:tcW w:w="127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line="440" w:lineRule="exact"/>
              <w:rPr>
                <w:rFonts w:ascii="宋体" w:hAnsi="宋体" w:cs="宋体"/>
                <w:sz w:val="24"/>
              </w:rPr>
            </w:pPr>
            <w:r>
              <w:rPr>
                <w:rFonts w:hint="eastAsia" w:ascii="宋体" w:hAnsi="宋体" w:cs="宋体"/>
                <w:sz w:val="24"/>
              </w:rPr>
              <w:t>原件</w:t>
            </w:r>
          </w:p>
        </w:tc>
        <w:tc>
          <w:tcPr>
            <w:tcW w:w="924" w:type="dxa"/>
            <w:tcBorders>
              <w:top w:val="nil"/>
              <w:left w:val="nil"/>
              <w:bottom w:val="single" w:color="auto" w:sz="4" w:space="0"/>
              <w:right w:val="single" w:color="auto" w:sz="4" w:space="0"/>
            </w:tcBorders>
            <w:tcMar>
              <w:top w:w="0" w:type="dxa"/>
              <w:left w:w="108" w:type="dxa"/>
              <w:bottom w:w="0" w:type="dxa"/>
              <w:right w:w="108" w:type="dxa"/>
            </w:tcMar>
            <w:vAlign w:val="center"/>
          </w:tcPr>
          <w:p>
            <w:pPr>
              <w:spacing w:line="440" w:lineRule="exact"/>
              <w:rPr>
                <w:rFonts w:ascii="宋体" w:hAnsi="宋体" w:cs="宋体"/>
                <w:sz w:val="24"/>
              </w:rPr>
            </w:pPr>
          </w:p>
        </w:tc>
      </w:tr>
      <w:tr>
        <w:tblPrEx>
          <w:tblCellMar>
            <w:top w:w="0" w:type="dxa"/>
            <w:left w:w="0" w:type="dxa"/>
            <w:bottom w:w="0" w:type="dxa"/>
            <w:right w:w="0" w:type="dxa"/>
          </w:tblCellMar>
        </w:tblPrEx>
        <w:trPr>
          <w:cantSplit/>
          <w:trHeight w:val="546"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ascii="宋体" w:hAnsi="宋体" w:cs="宋体"/>
                <w:sz w:val="24"/>
              </w:rPr>
              <w:t>3</w:t>
            </w:r>
          </w:p>
        </w:tc>
        <w:tc>
          <w:tcPr>
            <w:tcW w:w="438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企业营业执照副本复印件（加盖单位公章）</w:t>
            </w:r>
          </w:p>
        </w:tc>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rPr>
                <w:rFonts w:ascii="宋体" w:hAnsi="宋体" w:cs="宋体"/>
                <w:sz w:val="24"/>
              </w:rPr>
            </w:pPr>
            <w:r>
              <w:rPr>
                <w:rFonts w:hint="eastAsia" w:ascii="宋体" w:hAnsi="宋体" w:cs="宋体"/>
                <w:sz w:val="24"/>
              </w:rPr>
              <w:t>复印件</w:t>
            </w:r>
          </w:p>
        </w:tc>
        <w:tc>
          <w:tcPr>
            <w:tcW w:w="9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rPr>
                <w:rFonts w:ascii="宋体" w:hAnsi="宋体" w:cs="宋体"/>
                <w:sz w:val="24"/>
              </w:rPr>
            </w:pPr>
          </w:p>
        </w:tc>
      </w:tr>
      <w:tr>
        <w:tblPrEx>
          <w:tblCellMar>
            <w:top w:w="0" w:type="dxa"/>
            <w:left w:w="0" w:type="dxa"/>
            <w:bottom w:w="0" w:type="dxa"/>
            <w:right w:w="0" w:type="dxa"/>
          </w:tblCellMar>
        </w:tblPrEx>
        <w:trPr>
          <w:cantSplit/>
          <w:trHeight w:val="546"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4</w:t>
            </w:r>
          </w:p>
        </w:tc>
        <w:tc>
          <w:tcPr>
            <w:tcW w:w="438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投标人没有违反招标公告第五条投标人资格要求第6、7、8、9、10点要求的承诺书（加盖单位公章）</w:t>
            </w:r>
          </w:p>
        </w:tc>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rPr>
                <w:rFonts w:ascii="宋体" w:hAnsi="宋体" w:cs="宋体"/>
                <w:sz w:val="24"/>
              </w:rPr>
            </w:pPr>
            <w:r>
              <w:rPr>
                <w:rFonts w:hint="eastAsia" w:ascii="宋体" w:hAnsi="宋体" w:cs="宋体"/>
                <w:sz w:val="24"/>
              </w:rPr>
              <w:t>原件</w:t>
            </w:r>
          </w:p>
        </w:tc>
        <w:tc>
          <w:tcPr>
            <w:tcW w:w="9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rPr>
                <w:rFonts w:ascii="宋体" w:hAnsi="宋体" w:cs="宋体"/>
                <w:sz w:val="24"/>
              </w:rPr>
            </w:pPr>
          </w:p>
        </w:tc>
      </w:tr>
    </w:tbl>
    <w:p>
      <w:pPr>
        <w:widowControl/>
        <w:snapToGrid w:val="0"/>
        <w:spacing w:line="380" w:lineRule="exact"/>
        <w:ind w:right="1575"/>
        <w:rPr>
          <w:rFonts w:ascii="宋体" w:hAnsi="宋体" w:cs="宋体"/>
          <w:kern w:val="0"/>
          <w:sz w:val="24"/>
        </w:rPr>
      </w:pPr>
    </w:p>
    <w:p>
      <w:pPr>
        <w:widowControl/>
        <w:snapToGrid w:val="0"/>
        <w:spacing w:line="380" w:lineRule="exact"/>
        <w:ind w:right="735"/>
        <w:jc w:val="right"/>
        <w:rPr>
          <w:rFonts w:ascii="宋体" w:hAnsi="宋体" w:cs="宋体"/>
          <w:kern w:val="0"/>
          <w:sz w:val="24"/>
          <w:highlight w:val="none"/>
        </w:rPr>
      </w:pPr>
      <w:r>
        <w:rPr>
          <w:rFonts w:hint="eastAsia" w:ascii="宋体" w:hAnsi="宋体" w:cs="宋体"/>
          <w:kern w:val="0"/>
          <w:sz w:val="24"/>
        </w:rPr>
        <w:t>广东外语外贸大学</w:t>
      </w:r>
      <w:r>
        <w:rPr>
          <w:rFonts w:hint="eastAsia" w:ascii="宋体" w:hAnsi="宋体" w:cs="宋体"/>
          <w:kern w:val="0"/>
          <w:sz w:val="24"/>
          <w:highlight w:val="none"/>
        </w:rPr>
        <w:t>招标采购中心</w:t>
      </w:r>
    </w:p>
    <w:p>
      <w:pPr>
        <w:widowControl/>
        <w:wordWrap w:val="0"/>
        <w:snapToGrid w:val="0"/>
        <w:spacing w:line="380" w:lineRule="exact"/>
        <w:ind w:right="846" w:firstLine="3600" w:firstLineChars="1500"/>
        <w:jc w:val="right"/>
        <w:rPr>
          <w:rFonts w:ascii="宋体" w:hAnsi="宋体" w:cs="宋体"/>
          <w:kern w:val="0"/>
          <w:sz w:val="24"/>
          <w:highlight w:val="none"/>
        </w:rPr>
      </w:pPr>
      <w:r>
        <w:rPr>
          <w:rFonts w:hint="eastAsia" w:ascii="宋体" w:hAnsi="宋体" w:cs="宋体"/>
          <w:kern w:val="0"/>
          <w:sz w:val="24"/>
          <w:highlight w:val="none"/>
        </w:rPr>
        <w:t>202</w:t>
      </w:r>
      <w:r>
        <w:rPr>
          <w:rFonts w:hint="eastAsia" w:ascii="宋体" w:hAnsi="宋体" w:cs="宋体"/>
          <w:kern w:val="0"/>
          <w:sz w:val="24"/>
          <w:highlight w:val="none"/>
          <w:lang w:val="en-US" w:eastAsia="zh-CN"/>
        </w:rPr>
        <w:t>4</w:t>
      </w:r>
      <w:r>
        <w:rPr>
          <w:rFonts w:hint="eastAsia" w:ascii="宋体" w:hAnsi="宋体" w:cs="宋体"/>
          <w:kern w:val="0"/>
          <w:sz w:val="24"/>
          <w:highlight w:val="none"/>
        </w:rPr>
        <w:t>年</w:t>
      </w:r>
      <w:r>
        <w:rPr>
          <w:rFonts w:hint="eastAsia" w:ascii="宋体" w:hAnsi="宋体" w:cs="宋体"/>
          <w:kern w:val="0"/>
          <w:sz w:val="24"/>
          <w:highlight w:val="none"/>
          <w:lang w:val="en-US" w:eastAsia="zh-CN"/>
        </w:rPr>
        <w:t>4</w:t>
      </w:r>
      <w:r>
        <w:rPr>
          <w:rFonts w:hint="eastAsia" w:ascii="宋体" w:hAnsi="宋体" w:cs="宋体"/>
          <w:kern w:val="0"/>
          <w:sz w:val="24"/>
          <w:highlight w:val="none"/>
        </w:rPr>
        <w:t xml:space="preserve">月 </w:t>
      </w:r>
    </w:p>
    <w:p>
      <w:pPr>
        <w:tabs>
          <w:tab w:val="left" w:pos="4260"/>
        </w:tabs>
        <w:adjustRightInd w:val="0"/>
        <w:snapToGrid w:val="0"/>
        <w:spacing w:line="300" w:lineRule="auto"/>
        <w:rPr>
          <w:rFonts w:ascii="宋体" w:hAnsi="宋体" w:cs="宋体"/>
          <w:b/>
          <w:sz w:val="32"/>
          <w:szCs w:val="32"/>
          <w:highlight w:val="none"/>
        </w:rPr>
      </w:pPr>
    </w:p>
    <w:p>
      <w:pPr>
        <w:adjustRightInd w:val="0"/>
        <w:snapToGrid w:val="0"/>
        <w:spacing w:line="300" w:lineRule="auto"/>
        <w:jc w:val="center"/>
        <w:rPr>
          <w:rFonts w:ascii="宋体" w:hAnsi="宋体" w:cs="宋体"/>
          <w:b/>
          <w:sz w:val="36"/>
          <w:szCs w:val="36"/>
        </w:rPr>
      </w:pPr>
      <w:r>
        <w:rPr>
          <w:rFonts w:hint="eastAsia" w:ascii="宋体" w:hAnsi="宋体" w:cs="宋体"/>
          <w:sz w:val="32"/>
          <w:szCs w:val="32"/>
          <w:highlight w:val="none"/>
        </w:rPr>
        <w:br w:type="page"/>
      </w:r>
      <w:r>
        <w:rPr>
          <w:rFonts w:hint="eastAsia" w:ascii="宋体" w:hAnsi="宋体" w:cs="宋体"/>
          <w:b/>
          <w:sz w:val="36"/>
          <w:szCs w:val="36"/>
        </w:rPr>
        <w:t xml:space="preserve"> 招标文件</w:t>
      </w:r>
    </w:p>
    <w:p>
      <w:pPr>
        <w:overflowPunct w:val="0"/>
        <w:spacing w:line="440" w:lineRule="exact"/>
        <w:ind w:firstLine="480" w:firstLineChars="200"/>
        <w:rPr>
          <w:rFonts w:ascii="宋体" w:hAnsi="宋体" w:cs="宋体"/>
          <w:sz w:val="24"/>
        </w:rPr>
      </w:pPr>
      <w:r>
        <w:rPr>
          <w:rFonts w:hint="eastAsia" w:ascii="宋体" w:hAnsi="宋体" w:cs="宋体"/>
          <w:sz w:val="24"/>
        </w:rPr>
        <w:t>根据《中华人民共和国招标投标法》和《广东省建设工程招标投标管理条例》的有关规定，广东外语外贸大学</w:t>
      </w:r>
      <w:r>
        <w:rPr>
          <w:rFonts w:hint="eastAsia" w:ascii="宋体" w:hAnsi="宋体" w:cs="宋体"/>
          <w:sz w:val="24"/>
          <w:lang w:eastAsia="zh-CN"/>
        </w:rPr>
        <w:t>白云山校区国际学院公共区域局部修缮项目</w:t>
      </w:r>
      <w:r>
        <w:rPr>
          <w:rFonts w:hint="eastAsia" w:ascii="宋体" w:hAnsi="宋体" w:cs="宋体"/>
          <w:sz w:val="24"/>
        </w:rPr>
        <w:t>已具备施工条件。现制定如下招标文件，作为各投标人编制投标文件的依据。</w:t>
      </w:r>
    </w:p>
    <w:p>
      <w:pPr>
        <w:overflowPunct w:val="0"/>
        <w:spacing w:line="440" w:lineRule="exact"/>
        <w:ind w:firstLine="482" w:firstLineChars="200"/>
        <w:rPr>
          <w:rFonts w:ascii="宋体" w:hAnsi="宋体" w:cs="宋体"/>
          <w:b/>
          <w:bCs/>
          <w:sz w:val="24"/>
        </w:rPr>
      </w:pPr>
      <w:bookmarkStart w:id="3" w:name="_Toc61511577"/>
      <w:bookmarkStart w:id="4" w:name="_Toc339544877"/>
      <w:bookmarkStart w:id="5" w:name="_Toc136009902"/>
      <w:r>
        <w:rPr>
          <w:rFonts w:hint="eastAsia" w:ascii="宋体" w:hAnsi="宋体" w:cs="宋体"/>
          <w:b/>
          <w:bCs/>
          <w:sz w:val="24"/>
        </w:rPr>
        <w:t>一、工程概况</w:t>
      </w:r>
      <w:bookmarkEnd w:id="3"/>
      <w:bookmarkEnd w:id="4"/>
      <w:bookmarkEnd w:id="5"/>
    </w:p>
    <w:p>
      <w:pPr>
        <w:overflowPunct w:val="0"/>
        <w:spacing w:line="440" w:lineRule="exact"/>
        <w:ind w:firstLine="480" w:firstLineChars="200"/>
        <w:rPr>
          <w:rFonts w:hint="eastAsia" w:ascii="宋体" w:hAnsi="宋体" w:eastAsia="宋体" w:cs="宋体"/>
          <w:sz w:val="24"/>
          <w:lang w:eastAsia="zh-CN"/>
        </w:rPr>
      </w:pPr>
      <w:r>
        <w:rPr>
          <w:rFonts w:hint="eastAsia" w:ascii="宋体" w:hAnsi="宋体" w:cs="宋体"/>
          <w:sz w:val="24"/>
        </w:rPr>
        <w:t>1.工程名称：</w:t>
      </w:r>
      <w:r>
        <w:rPr>
          <w:rFonts w:hint="eastAsia" w:ascii="宋体" w:hAnsi="宋体" w:cs="宋体"/>
          <w:sz w:val="24"/>
          <w:lang w:eastAsia="zh-CN"/>
        </w:rPr>
        <w:t>白云山校区国际学院公共区域局部修缮项目</w:t>
      </w:r>
    </w:p>
    <w:p>
      <w:pPr>
        <w:overflowPunct w:val="0"/>
        <w:spacing w:line="440" w:lineRule="exact"/>
        <w:ind w:firstLine="480" w:firstLineChars="200"/>
        <w:rPr>
          <w:rFonts w:ascii="宋体" w:hAnsi="宋体" w:cs="宋体"/>
          <w:sz w:val="24"/>
        </w:rPr>
      </w:pPr>
      <w:r>
        <w:rPr>
          <w:rFonts w:hint="eastAsia" w:ascii="宋体" w:hAnsi="宋体" w:cs="宋体"/>
          <w:sz w:val="24"/>
        </w:rPr>
        <w:t>2.建设地点：广东外语外贸大学白云山校区</w:t>
      </w:r>
    </w:p>
    <w:p>
      <w:pPr>
        <w:overflowPunct w:val="0"/>
        <w:spacing w:line="440" w:lineRule="exact"/>
        <w:ind w:firstLine="480" w:firstLineChars="200"/>
        <w:rPr>
          <w:rFonts w:ascii="宋体" w:hAnsi="宋体" w:cs="宋体"/>
          <w:sz w:val="24"/>
        </w:rPr>
      </w:pPr>
      <w:r>
        <w:rPr>
          <w:rFonts w:hint="eastAsia" w:ascii="宋体" w:hAnsi="宋体" w:cs="宋体"/>
          <w:sz w:val="24"/>
        </w:rPr>
        <w:t>3.招标人（建设单位）：广东外语外贸大学</w:t>
      </w:r>
    </w:p>
    <w:p>
      <w:pPr>
        <w:overflowPunct w:val="0"/>
        <w:spacing w:line="440" w:lineRule="exact"/>
        <w:ind w:firstLine="480" w:firstLineChars="200"/>
        <w:rPr>
          <w:rFonts w:ascii="宋体" w:hAnsi="宋体" w:cs="宋体"/>
          <w:sz w:val="24"/>
        </w:rPr>
      </w:pPr>
      <w:r>
        <w:rPr>
          <w:rFonts w:hint="eastAsia" w:ascii="宋体" w:hAnsi="宋体" w:cs="宋体"/>
          <w:sz w:val="24"/>
        </w:rPr>
        <w:t>4.资金来源：自筹资金</w:t>
      </w:r>
    </w:p>
    <w:p>
      <w:pPr>
        <w:overflowPunct w:val="0"/>
        <w:spacing w:line="440" w:lineRule="exact"/>
        <w:ind w:firstLine="480" w:firstLineChars="200"/>
        <w:rPr>
          <w:rFonts w:ascii="宋体" w:hAnsi="宋体" w:cs="宋体"/>
          <w:b/>
          <w:sz w:val="24"/>
        </w:rPr>
      </w:pPr>
      <w:bookmarkStart w:id="6" w:name="_Toc339544878"/>
      <w:r>
        <w:rPr>
          <w:rFonts w:hint="eastAsia" w:ascii="宋体" w:hAnsi="宋体" w:cs="宋体"/>
          <w:sz w:val="24"/>
        </w:rPr>
        <w:t>5.投标限价：</w:t>
      </w:r>
      <w:r>
        <w:rPr>
          <w:rFonts w:hint="eastAsia" w:ascii="宋体" w:hAnsi="宋体" w:cs="宋体"/>
          <w:color w:val="auto"/>
          <w:sz w:val="24"/>
          <w:highlight w:val="none"/>
        </w:rPr>
        <w:t>本工程设置的最高报价值为275123.41元（其中暂列金额22015.13元，绿色施工安全防护措施费7681.83元，这两笔费用不作为竞争性费用）。超过最高报价值的投标报价均按无效投标处理。</w:t>
      </w:r>
      <w:r>
        <w:rPr>
          <w:rFonts w:hint="eastAsia" w:ascii="宋体" w:hAnsi="宋体"/>
          <w:sz w:val="24"/>
        </w:rPr>
        <w:t xml:space="preserve"> </w:t>
      </w:r>
      <w:r>
        <w:rPr>
          <w:rFonts w:hint="eastAsia" w:ascii="宋体" w:hAnsi="宋体" w:cs="宋体"/>
          <w:sz w:val="24"/>
        </w:rPr>
        <w:t xml:space="preserve">        </w:t>
      </w:r>
    </w:p>
    <w:p>
      <w:pPr>
        <w:overflowPunct w:val="0"/>
        <w:spacing w:line="440" w:lineRule="exact"/>
        <w:ind w:firstLine="480" w:firstLineChars="200"/>
        <w:rPr>
          <w:rFonts w:ascii="宋体" w:hAnsi="宋体" w:cs="宋体"/>
          <w:sz w:val="24"/>
        </w:rPr>
      </w:pPr>
      <w:r>
        <w:rPr>
          <w:rFonts w:hint="eastAsia" w:ascii="宋体" w:hAnsi="宋体" w:cs="宋体"/>
          <w:sz w:val="24"/>
        </w:rPr>
        <w:t>6.工程范围和内容：</w:t>
      </w:r>
      <w:r>
        <w:rPr>
          <w:rFonts w:hint="eastAsia" w:ascii="新宋体" w:hAnsi="新宋体" w:eastAsia="新宋体" w:cs="宋体"/>
          <w:color w:val="auto"/>
          <w:sz w:val="24"/>
          <w:highlight w:val="none"/>
        </w:rPr>
        <w:t>拆除原有铁皮围墙，更换为铁艺围墙及可开关的铁艺门，两侧总长共约 23米；更换栏杆破损的钢化玻璃2块；消防通道另一侧增加铁艺围墙及可开关的铁艺门，总长约8m；更换不锈钢骨架及耐力板雨棚，拆除原有屋面保护层、防水层至结构层，重新做防水及屋面保护层等</w:t>
      </w:r>
      <w:r>
        <w:rPr>
          <w:rFonts w:hint="eastAsia" w:ascii="新宋体" w:hAnsi="新宋体" w:eastAsia="新宋体" w:cs="宋体"/>
          <w:sz w:val="24"/>
        </w:rPr>
        <w:t>工程内容事项，具体工程内容详见工程量清单和建设方确认的施工图纸所包含的工程内容。</w:t>
      </w:r>
      <w:r>
        <w:rPr>
          <w:rFonts w:hint="eastAsia" w:ascii="宋体" w:hAnsi="宋体" w:cs="宋体"/>
          <w:sz w:val="24"/>
        </w:rPr>
        <w:t xml:space="preserve">         </w:t>
      </w:r>
    </w:p>
    <w:p>
      <w:pPr>
        <w:overflowPunct w:val="0"/>
        <w:spacing w:line="440" w:lineRule="exact"/>
        <w:ind w:firstLine="480" w:firstLineChars="200"/>
        <w:rPr>
          <w:rFonts w:ascii="宋体" w:hAnsi="宋体" w:cs="宋体"/>
          <w:sz w:val="24"/>
        </w:rPr>
      </w:pPr>
      <w:r>
        <w:rPr>
          <w:rFonts w:hint="eastAsia" w:ascii="宋体" w:hAnsi="宋体" w:cs="宋体"/>
          <w:sz w:val="24"/>
        </w:rPr>
        <w:t>7.发包方式：施工总承包</w:t>
      </w:r>
    </w:p>
    <w:p>
      <w:pPr>
        <w:overflowPunct w:val="0"/>
        <w:spacing w:line="440" w:lineRule="exact"/>
        <w:ind w:firstLine="480" w:firstLineChars="200"/>
        <w:rPr>
          <w:rFonts w:ascii="宋体" w:hAnsi="宋体" w:cs="宋体"/>
          <w:sz w:val="24"/>
        </w:rPr>
      </w:pPr>
      <w:r>
        <w:rPr>
          <w:rFonts w:hint="eastAsia" w:ascii="宋体" w:hAnsi="宋体" w:cs="宋体"/>
          <w:sz w:val="24"/>
        </w:rPr>
        <w:t>8.计划工期：</w:t>
      </w:r>
      <w:r>
        <w:rPr>
          <w:rFonts w:hint="eastAsia" w:ascii="宋体" w:hAnsi="宋体" w:cs="宋体"/>
          <w:sz w:val="24"/>
          <w:u w:val="single"/>
          <w:lang w:val="en-US" w:eastAsia="zh-CN"/>
        </w:rPr>
        <w:t>4</w:t>
      </w:r>
      <w:r>
        <w:rPr>
          <w:rFonts w:ascii="宋体" w:hAnsi="宋体" w:cs="宋体"/>
          <w:sz w:val="24"/>
          <w:u w:val="single"/>
        </w:rPr>
        <w:t>0</w:t>
      </w:r>
      <w:r>
        <w:rPr>
          <w:rFonts w:hint="eastAsia" w:ascii="宋体" w:hAnsi="宋体" w:cs="宋体"/>
          <w:sz w:val="24"/>
        </w:rPr>
        <w:t>个日历天</w:t>
      </w:r>
    </w:p>
    <w:p>
      <w:pPr>
        <w:overflowPunct w:val="0"/>
        <w:spacing w:line="440" w:lineRule="exact"/>
        <w:ind w:firstLine="480" w:firstLineChars="200"/>
        <w:rPr>
          <w:rFonts w:ascii="宋体" w:hAnsi="宋体" w:cs="宋体"/>
          <w:sz w:val="24"/>
        </w:rPr>
      </w:pPr>
      <w:r>
        <w:rPr>
          <w:rFonts w:hint="eastAsia" w:ascii="宋体" w:hAnsi="宋体" w:cs="宋体"/>
          <w:sz w:val="24"/>
        </w:rPr>
        <w:t>9.现场条件：现场具备开工条件。</w:t>
      </w:r>
    </w:p>
    <w:bookmarkEnd w:id="6"/>
    <w:p>
      <w:pPr>
        <w:overflowPunct w:val="0"/>
        <w:spacing w:line="440" w:lineRule="exact"/>
        <w:ind w:firstLine="482" w:firstLineChars="200"/>
        <w:rPr>
          <w:rFonts w:ascii="宋体" w:hAnsi="宋体" w:cs="宋体"/>
          <w:b/>
          <w:bCs/>
          <w:sz w:val="24"/>
        </w:rPr>
      </w:pPr>
      <w:bookmarkStart w:id="7" w:name="_Toc61511578"/>
      <w:bookmarkStart w:id="8" w:name="_Toc136009903"/>
      <w:bookmarkStart w:id="9" w:name="_Toc5900"/>
      <w:r>
        <w:rPr>
          <w:rFonts w:hint="eastAsia" w:ascii="宋体" w:hAnsi="宋体" w:cs="宋体"/>
          <w:b/>
          <w:bCs/>
          <w:sz w:val="24"/>
        </w:rPr>
        <w:t>二、招标方式、招标范围</w:t>
      </w:r>
      <w:bookmarkEnd w:id="7"/>
      <w:bookmarkEnd w:id="8"/>
      <w:bookmarkEnd w:id="9"/>
    </w:p>
    <w:p>
      <w:pPr>
        <w:overflowPunct w:val="0"/>
        <w:spacing w:line="440" w:lineRule="exact"/>
        <w:ind w:firstLine="480" w:firstLineChars="200"/>
        <w:rPr>
          <w:rFonts w:ascii="宋体" w:hAnsi="宋体" w:cs="宋体"/>
          <w:sz w:val="24"/>
        </w:rPr>
      </w:pPr>
      <w:r>
        <w:rPr>
          <w:rFonts w:hint="eastAsia" w:ascii="宋体" w:hAnsi="宋体" w:cs="宋体"/>
          <w:sz w:val="24"/>
        </w:rPr>
        <w:t>（一）招标方式：本工程采用校内公开招标。</w:t>
      </w:r>
    </w:p>
    <w:p>
      <w:pPr>
        <w:overflowPunct w:val="0"/>
        <w:spacing w:line="440" w:lineRule="exact"/>
        <w:ind w:firstLine="480" w:firstLineChars="200"/>
        <w:rPr>
          <w:rFonts w:ascii="宋体" w:hAnsi="宋体" w:cs="宋体"/>
          <w:sz w:val="24"/>
        </w:rPr>
      </w:pPr>
      <w:r>
        <w:rPr>
          <w:rFonts w:hint="eastAsia" w:ascii="宋体" w:hAnsi="宋体" w:cs="宋体"/>
          <w:sz w:val="24"/>
        </w:rPr>
        <w:t>（二）招标范围：</w:t>
      </w:r>
      <w:r>
        <w:rPr>
          <w:rFonts w:hint="eastAsia" w:ascii="宋体" w:hAnsi="宋体" w:cs="宋体"/>
          <w:sz w:val="24"/>
          <w:lang w:eastAsia="zh-CN"/>
        </w:rPr>
        <w:t>白云山校区国际学院公共区域局部修缮项目</w:t>
      </w:r>
      <w:r>
        <w:rPr>
          <w:rFonts w:hint="eastAsia" w:ascii="宋体" w:hAnsi="宋体" w:cs="宋体"/>
          <w:sz w:val="24"/>
        </w:rPr>
        <w:t>。</w:t>
      </w:r>
    </w:p>
    <w:p>
      <w:pPr>
        <w:overflowPunct w:val="0"/>
        <w:spacing w:line="440" w:lineRule="exact"/>
        <w:ind w:firstLine="482" w:firstLineChars="200"/>
        <w:rPr>
          <w:rFonts w:ascii="宋体" w:hAnsi="宋体" w:cs="宋体"/>
          <w:sz w:val="24"/>
        </w:rPr>
      </w:pPr>
      <w:r>
        <w:rPr>
          <w:rFonts w:hint="eastAsia" w:ascii="宋体" w:hAnsi="宋体" w:cs="宋体"/>
          <w:b/>
          <w:sz w:val="24"/>
        </w:rPr>
        <w:t>为保证项目质量，如投标人报价金额低于投标限价最高报价值的80%，必须提供说明及相关的佐证材料分析表，在投标时将佐证材料原件扫描作为附件（原件备查），与报价文件等资料一并提供。如不作说明或说明理由不充分，投标文件或佐证材料不符合以下要求，均可视为低于成本响应而响应无效，当作无效响应处理。这些分析必须包括但不限于：1.投标清单中每个项目子项及措施项目的单价分析（漏项视为理由不充分）；2.主要用工方式和各工种人工日工资分析；3.主要材料选购方式及其主要材料的价格分析；4.主要机械成本分析，及其他分析。分析均必须量化且提供佐证材料（佐证材料须涉及参与上述分析的每一个支撑数据，如有遗漏视为理由不充分）。佐证材料包括但不限于：1.主要材料投标清单（须由供货商盖章，提供原件备查，否则无效）2.拟投入本工程的工程机械台班租赁合同、自有机械</w:t>
      </w:r>
      <w:r>
        <w:rPr>
          <w:rFonts w:hint="eastAsia" w:ascii="宋体" w:hAnsi="宋体" w:cs="宋体"/>
          <w:b/>
          <w:bCs/>
          <w:sz w:val="24"/>
        </w:rPr>
        <w:t>提供相应的设备登记证并分析机械台班使用费用等。如单价分析涉及综合定额消耗量的变动，须作进一步的分析说明并提供佐证材料，否则，被视为低于成本投标而投标无效，当作无效投标处理。</w:t>
      </w:r>
    </w:p>
    <w:p>
      <w:pPr>
        <w:overflowPunct w:val="0"/>
        <w:spacing w:line="440" w:lineRule="exact"/>
        <w:ind w:firstLine="482" w:firstLineChars="200"/>
        <w:rPr>
          <w:rFonts w:ascii="宋体" w:hAnsi="宋体" w:cs="宋体"/>
          <w:b/>
          <w:bCs/>
          <w:sz w:val="24"/>
        </w:rPr>
      </w:pPr>
      <w:bookmarkStart w:id="10" w:name="_Toc136009904"/>
      <w:bookmarkStart w:id="11" w:name="_Toc61511579"/>
      <w:bookmarkStart w:id="12" w:name="_Toc339544879"/>
      <w:bookmarkStart w:id="13" w:name="_Toc514923470"/>
      <w:bookmarkStart w:id="14" w:name="_Toc339544884"/>
      <w:r>
        <w:rPr>
          <w:rFonts w:hint="eastAsia" w:ascii="宋体" w:hAnsi="宋体" w:cs="宋体"/>
          <w:b/>
          <w:bCs/>
          <w:sz w:val="24"/>
        </w:rPr>
        <w:t>三、工程承包方式</w:t>
      </w:r>
      <w:bookmarkEnd w:id="10"/>
      <w:bookmarkEnd w:id="11"/>
      <w:bookmarkEnd w:id="12"/>
      <w:bookmarkEnd w:id="13"/>
    </w:p>
    <w:p>
      <w:pPr>
        <w:overflowPunct w:val="0"/>
        <w:spacing w:line="440" w:lineRule="exact"/>
        <w:ind w:firstLine="480" w:firstLineChars="200"/>
        <w:rPr>
          <w:rFonts w:ascii="宋体" w:hAnsi="宋体" w:cs="宋体"/>
          <w:sz w:val="24"/>
        </w:rPr>
      </w:pPr>
      <w:r>
        <w:rPr>
          <w:rFonts w:hint="eastAsia" w:ascii="宋体" w:hAnsi="宋体" w:cs="宋体"/>
          <w:sz w:val="24"/>
        </w:rPr>
        <w:t>承包方式：采用工程量清单综合单价包干，工程量按实结算，措施项目费（含绿色施工安全防护措施费、措施其它项目费）总价包干的承包方式。投标人按照招标文件的要求，以招标人提供的图纸、工程量清单等资料为依据，按工程量清单法报价响应（报价格式详见附件），即按照招标工程量清单及设计图纸等相关要求，包工、包料、包机械、包工期、包质量、包安全生产、包文明施工、包劳保、包竣工验收、包保修等的承包方式。如工程量清单与图纸不一致时，请投标人在提交招标文件答疑时提出，由招标人在答疑中补充列项，否则，投标报价即已包含按图纸施工的全部工程内容。结算时投标人提交余泥及废弃物外运消纳费的正规发票等相关证明材料，经审核无误后按实结算。</w:t>
      </w:r>
    </w:p>
    <w:p>
      <w:pPr>
        <w:overflowPunct w:val="0"/>
        <w:spacing w:line="440" w:lineRule="exact"/>
        <w:ind w:firstLine="482" w:firstLineChars="200"/>
        <w:rPr>
          <w:rFonts w:ascii="宋体" w:hAnsi="宋体" w:cs="宋体"/>
          <w:b/>
          <w:bCs/>
          <w:sz w:val="24"/>
        </w:rPr>
      </w:pPr>
      <w:bookmarkStart w:id="15" w:name="_Toc136009905"/>
      <w:bookmarkStart w:id="16" w:name="_Toc61511580"/>
      <w:bookmarkStart w:id="17" w:name="_Toc339544880"/>
      <w:bookmarkStart w:id="18" w:name="_Toc514923471"/>
      <w:r>
        <w:rPr>
          <w:rFonts w:hint="eastAsia" w:ascii="宋体" w:hAnsi="宋体" w:cs="宋体"/>
          <w:b/>
          <w:bCs/>
          <w:sz w:val="24"/>
        </w:rPr>
        <w:t>四、工程质量和使用材料要求</w:t>
      </w:r>
      <w:bookmarkEnd w:id="15"/>
      <w:bookmarkEnd w:id="16"/>
      <w:bookmarkEnd w:id="17"/>
      <w:bookmarkEnd w:id="18"/>
    </w:p>
    <w:p>
      <w:pPr>
        <w:overflowPunct w:val="0"/>
        <w:spacing w:line="440" w:lineRule="exact"/>
        <w:ind w:firstLine="480" w:firstLineChars="200"/>
        <w:rPr>
          <w:rFonts w:ascii="宋体" w:hAnsi="宋体" w:cs="宋体"/>
          <w:sz w:val="24"/>
        </w:rPr>
      </w:pPr>
      <w:bookmarkStart w:id="19" w:name="_Toc339544881"/>
      <w:bookmarkStart w:id="20" w:name="_Toc514923472"/>
      <w:r>
        <w:rPr>
          <w:rFonts w:hint="eastAsia" w:ascii="宋体" w:hAnsi="宋体" w:cs="宋体"/>
          <w:sz w:val="24"/>
        </w:rPr>
        <w:t>1.技术要求：本工程要求严格按照国家有关施工及验收规范、技术标准进行施工和验收。</w:t>
      </w:r>
    </w:p>
    <w:p>
      <w:pPr>
        <w:overflowPunct w:val="0"/>
        <w:spacing w:line="440" w:lineRule="exact"/>
        <w:ind w:firstLine="480" w:firstLineChars="200"/>
        <w:rPr>
          <w:rFonts w:ascii="宋体" w:hAnsi="宋体" w:cs="宋体"/>
          <w:sz w:val="24"/>
        </w:rPr>
      </w:pPr>
      <w:r>
        <w:rPr>
          <w:rFonts w:hint="eastAsia" w:ascii="宋体" w:hAnsi="宋体" w:cs="宋体"/>
          <w:sz w:val="24"/>
        </w:rPr>
        <w:t>2.质量要求：确保达到质量验收合格。工程质量管理按中华人民共和国国务院令第279号《建设工程质量管理条例》执行，工程质量验收标准按《建筑工程施工质量验收统一标准（GB50300-2013）》、国家颁发的技术规范及相应的分项工程施工质量验收规范执行。中标人在施工中如果工程质量不符合设计要求和有关规定，招标人有权要求中标人停工和返工，中标人必须立即执行，并承担由此产生的各种费用，工期不予顺延。否则履约保证金不给予退还。</w:t>
      </w:r>
    </w:p>
    <w:p>
      <w:pPr>
        <w:overflowPunct w:val="0"/>
        <w:spacing w:line="440" w:lineRule="exact"/>
        <w:ind w:firstLine="480" w:firstLineChars="200"/>
        <w:rPr>
          <w:rFonts w:ascii="宋体" w:hAnsi="宋体" w:cs="宋体"/>
          <w:sz w:val="24"/>
        </w:rPr>
      </w:pPr>
      <w:r>
        <w:rPr>
          <w:rFonts w:hint="eastAsia" w:ascii="宋体" w:hAnsi="宋体" w:cs="宋体"/>
          <w:sz w:val="24"/>
        </w:rPr>
        <w:t>3.本项目施工使用的材料应符合《建筑材料质量标准与管理规程》的规定和要求，且必须是《主要材料品牌选用表》中推荐使用的材料品牌，并需具备生产许可证，法定检验单位出具的相应产品品种的产品质量检验报告、出厂检验单、合格证。</w:t>
      </w:r>
    </w:p>
    <w:p>
      <w:pPr>
        <w:overflowPunct w:val="0"/>
        <w:spacing w:line="440" w:lineRule="exact"/>
        <w:ind w:firstLine="480" w:firstLineChars="200"/>
        <w:rPr>
          <w:rFonts w:ascii="宋体" w:hAnsi="宋体" w:cs="宋体"/>
          <w:sz w:val="24"/>
        </w:rPr>
      </w:pPr>
      <w:r>
        <w:rPr>
          <w:rFonts w:hint="eastAsia" w:ascii="宋体" w:hAnsi="宋体" w:cs="宋体"/>
          <w:sz w:val="24"/>
        </w:rPr>
        <w:t>4.工程使用的主要材料，承包人应提供生产厂家出具的材料合格证书，主要材料须提供样板并经招标人确认是否符合本次工程材料档次要求，方可使用。否则，招标人有权拒用且不支付相应款项，并由中标人承担相应的损失。</w:t>
      </w:r>
    </w:p>
    <w:p>
      <w:pPr>
        <w:pStyle w:val="26"/>
        <w:overflowPunct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5.本工程所使用的主要工程材料，须经发包人看样封板后，承包人才可以大批量购买和使用。本工程所使用的材料须符合环保和相关的检测要求，发包人在承包人工程完工后必要时安排专业单位进行检测，检测合格费用由发包人承担，检测不合格费用由承包人承担，承包人须进行整改。</w:t>
      </w:r>
    </w:p>
    <w:p>
      <w:pPr>
        <w:overflowPunct w:val="0"/>
        <w:spacing w:line="440" w:lineRule="exact"/>
        <w:ind w:firstLine="482" w:firstLineChars="200"/>
        <w:rPr>
          <w:rFonts w:ascii="宋体" w:hAnsi="宋体" w:cs="宋体"/>
          <w:b/>
          <w:bCs/>
          <w:sz w:val="24"/>
        </w:rPr>
      </w:pPr>
      <w:bookmarkStart w:id="21" w:name="_Toc136009906"/>
      <w:bookmarkStart w:id="22" w:name="_Toc61511581"/>
      <w:r>
        <w:rPr>
          <w:rFonts w:hint="eastAsia" w:ascii="宋体" w:hAnsi="宋体" w:cs="宋体"/>
          <w:b/>
          <w:bCs/>
          <w:sz w:val="24"/>
        </w:rPr>
        <w:t>五、工程工期和保修期</w:t>
      </w:r>
      <w:bookmarkEnd w:id="19"/>
      <w:bookmarkEnd w:id="20"/>
      <w:bookmarkEnd w:id="21"/>
      <w:bookmarkEnd w:id="22"/>
    </w:p>
    <w:p>
      <w:pPr>
        <w:overflowPunct w:val="0"/>
        <w:spacing w:line="440" w:lineRule="exact"/>
        <w:ind w:firstLine="480" w:firstLineChars="200"/>
        <w:rPr>
          <w:rFonts w:ascii="宋体" w:hAnsi="宋体" w:cs="宋体"/>
          <w:sz w:val="24"/>
        </w:rPr>
      </w:pPr>
      <w:bookmarkStart w:id="23" w:name="_Toc24696"/>
      <w:bookmarkStart w:id="24" w:name="_Toc339544882"/>
      <w:bookmarkStart w:id="25" w:name="_Toc514923473"/>
      <w:r>
        <w:rPr>
          <w:rFonts w:hint="eastAsia" w:ascii="宋体" w:hAnsi="宋体" w:cs="宋体"/>
          <w:sz w:val="24"/>
        </w:rPr>
        <w:t>（一）工程工期</w:t>
      </w:r>
      <w:bookmarkEnd w:id="23"/>
    </w:p>
    <w:p>
      <w:pPr>
        <w:overflowPunct w:val="0"/>
        <w:spacing w:line="440" w:lineRule="exact"/>
        <w:ind w:firstLine="480" w:firstLineChars="200"/>
        <w:rPr>
          <w:rFonts w:ascii="宋体" w:hAnsi="宋体" w:cs="宋体"/>
          <w:sz w:val="24"/>
        </w:rPr>
      </w:pPr>
      <w:r>
        <w:rPr>
          <w:rFonts w:hint="eastAsia" w:ascii="宋体" w:hAnsi="宋体" w:cs="宋体"/>
          <w:sz w:val="24"/>
        </w:rPr>
        <w:t>本工程总工期为</w:t>
      </w:r>
      <w:r>
        <w:rPr>
          <w:rFonts w:hint="eastAsia" w:ascii="宋体" w:hAnsi="宋体" w:cs="宋体"/>
          <w:sz w:val="24"/>
          <w:lang w:val="en-US" w:eastAsia="zh-CN"/>
        </w:rPr>
        <w:t>40</w:t>
      </w:r>
      <w:r>
        <w:rPr>
          <w:rFonts w:hint="eastAsia" w:ascii="宋体" w:hAnsi="宋体" w:cs="宋体"/>
          <w:sz w:val="24"/>
        </w:rPr>
        <w:t>个日历天，工期从发包人发布开工令之日起计算，投标人也可自报工期。中标人应在接到中标通知书后的7天内，完成施工合同的签署、施工人力组织和施工材料的准备工作。中标人施工总工期超过合同约定工期时，按《建设工程施工合同》有关工期的违约条款执行（违约金由发包方从工程结算款中扣除）。</w:t>
      </w:r>
    </w:p>
    <w:p>
      <w:pPr>
        <w:overflowPunct w:val="0"/>
        <w:spacing w:line="440" w:lineRule="exact"/>
        <w:ind w:firstLine="436" w:firstLineChars="182"/>
        <w:rPr>
          <w:rFonts w:ascii="宋体" w:hAnsi="宋体" w:cs="宋体"/>
          <w:sz w:val="24"/>
        </w:rPr>
      </w:pPr>
      <w:bookmarkStart w:id="26" w:name="_Toc28719"/>
      <w:r>
        <w:rPr>
          <w:rFonts w:hint="eastAsia" w:ascii="宋体" w:hAnsi="宋体" w:cs="宋体"/>
          <w:sz w:val="24"/>
        </w:rPr>
        <w:t>（二）工程保修期</w:t>
      </w:r>
      <w:bookmarkEnd w:id="26"/>
    </w:p>
    <w:p>
      <w:pPr>
        <w:overflowPunct w:val="0"/>
        <w:spacing w:line="440" w:lineRule="exact"/>
        <w:ind w:firstLine="480" w:firstLineChars="200"/>
        <w:rPr>
          <w:rFonts w:ascii="宋体" w:hAnsi="宋体" w:cs="宋体"/>
          <w:sz w:val="24"/>
        </w:rPr>
      </w:pPr>
      <w:r>
        <w:rPr>
          <w:rFonts w:hint="eastAsia" w:ascii="宋体" w:hAnsi="宋体" w:cs="宋体"/>
          <w:sz w:val="24"/>
        </w:rPr>
        <w:t>本招标工程的保修期按国家有关规定执行，保修期为两年，防水工程保修期五年。保修期自竣工验收后建设方签字之日起计算，保修期内因施工质量问题而造成的返修费用，全部由承包人负责。</w:t>
      </w:r>
    </w:p>
    <w:p>
      <w:pPr>
        <w:overflowPunct w:val="0"/>
        <w:spacing w:line="440" w:lineRule="exact"/>
        <w:ind w:firstLine="482" w:firstLineChars="200"/>
        <w:rPr>
          <w:rFonts w:ascii="宋体" w:hAnsi="宋体" w:cs="宋体"/>
          <w:b/>
          <w:bCs/>
          <w:sz w:val="24"/>
        </w:rPr>
      </w:pPr>
      <w:bookmarkStart w:id="27" w:name="_Toc61511582"/>
      <w:bookmarkStart w:id="28" w:name="_Toc136009907"/>
      <w:r>
        <w:rPr>
          <w:rFonts w:hint="eastAsia" w:ascii="宋体" w:hAnsi="宋体" w:cs="宋体"/>
          <w:b/>
          <w:bCs/>
          <w:sz w:val="24"/>
        </w:rPr>
        <w:t>六、投标编制原则、依据及投标书要求</w:t>
      </w:r>
      <w:bookmarkEnd w:id="24"/>
      <w:bookmarkEnd w:id="25"/>
      <w:bookmarkEnd w:id="27"/>
      <w:bookmarkEnd w:id="28"/>
    </w:p>
    <w:p>
      <w:pPr>
        <w:overflowPunct w:val="0"/>
        <w:spacing w:line="440" w:lineRule="exact"/>
        <w:ind w:firstLine="480" w:firstLineChars="200"/>
        <w:rPr>
          <w:rFonts w:ascii="宋体" w:hAnsi="宋体" w:cs="宋体"/>
          <w:sz w:val="24"/>
        </w:rPr>
      </w:pPr>
      <w:r>
        <w:rPr>
          <w:rFonts w:hint="eastAsia" w:ascii="宋体" w:hAnsi="宋体" w:cs="宋体"/>
          <w:sz w:val="24"/>
        </w:rPr>
        <w:t>（一）响应文件编制的原则和依据：</w:t>
      </w:r>
    </w:p>
    <w:p>
      <w:pPr>
        <w:overflowPunct w:val="0"/>
        <w:spacing w:line="440" w:lineRule="exact"/>
        <w:ind w:firstLine="480" w:firstLineChars="200"/>
        <w:rPr>
          <w:rFonts w:ascii="宋体" w:hAnsi="宋体" w:cs="宋体"/>
          <w:sz w:val="24"/>
        </w:rPr>
      </w:pPr>
      <w:r>
        <w:rPr>
          <w:rFonts w:hint="eastAsia" w:ascii="宋体" w:hAnsi="宋体" w:cs="宋体"/>
          <w:sz w:val="24"/>
        </w:rPr>
        <w:t>1．投标文件编制原则</w:t>
      </w:r>
    </w:p>
    <w:p>
      <w:pPr>
        <w:overflowPunct w:val="0"/>
        <w:spacing w:line="440" w:lineRule="exact"/>
        <w:ind w:firstLine="480" w:firstLineChars="200"/>
        <w:rPr>
          <w:rFonts w:ascii="宋体" w:hAnsi="宋体" w:cs="宋体"/>
          <w:sz w:val="24"/>
        </w:rPr>
      </w:pPr>
      <w:r>
        <w:rPr>
          <w:rFonts w:hint="eastAsia" w:ascii="宋体" w:hAnsi="宋体" w:cs="宋体"/>
          <w:sz w:val="24"/>
        </w:rPr>
        <w:t>本工程采用工程量清单计价法，根据《建设工程工程量清单计价规范》（GB50500-2013）计价原则，执行《广东省建设工程计价依据（2018）》《广东省房屋建筑与装饰工程综合定额（2018）》《广东省市政工程综合定额（2018）》《广东省通用安装工程综合定额（2018）》《广东省园林绿化工程综合定额（2018）》《广东省建设工程施工机具台班费用编制规则（2018）》和《广东省住房和城乡建设厅关于调整广东省建设工程计价依据增值税税率的通知》（粤建标函〔2019〕819号）（税金按增值税9%，其他人工、材料、机械按增值税方式计）等计价依据编制投标文件，按招标文件中工程量清单所列的工作内容和工程量填报相应的综合单价后，累计合价加上措施项目费、其它项目费和税金等计算出投标总价。</w:t>
      </w:r>
    </w:p>
    <w:p>
      <w:pPr>
        <w:overflowPunct w:val="0"/>
        <w:spacing w:line="440" w:lineRule="exact"/>
        <w:ind w:firstLine="480" w:firstLineChars="200"/>
        <w:rPr>
          <w:rFonts w:ascii="宋体" w:hAnsi="宋体" w:cs="宋体"/>
          <w:sz w:val="24"/>
        </w:rPr>
      </w:pPr>
      <w:r>
        <w:rPr>
          <w:rFonts w:hint="eastAsia" w:ascii="宋体" w:hAnsi="宋体" w:cs="宋体"/>
          <w:sz w:val="24"/>
        </w:rPr>
        <w:t>2．投标文件编制的依据</w:t>
      </w:r>
    </w:p>
    <w:p>
      <w:pPr>
        <w:overflowPunct w:val="0"/>
        <w:spacing w:line="440" w:lineRule="exact"/>
        <w:ind w:firstLine="480" w:firstLineChars="200"/>
        <w:rPr>
          <w:rFonts w:ascii="宋体" w:hAnsi="宋体" w:cs="宋体"/>
          <w:sz w:val="24"/>
        </w:rPr>
      </w:pPr>
      <w:r>
        <w:rPr>
          <w:rFonts w:hint="eastAsia" w:ascii="宋体" w:hAnsi="宋体" w:cs="宋体"/>
          <w:sz w:val="24"/>
        </w:rPr>
        <w:t>（1）主要材料、设备价格参考建设工程项目实施阶段的 《广州地区建设工程常用材料税前综合价格》和《广州地区建设工程材料（设备）厂商价格信息》，结合市场情况和企业自身情况由投标人自行报价，但报价原则上不得高于建设工程项目实施阶段的《广州地区建设工程常用材料税前综合价格》和《广州地区建设工程材料（设备）厂商价格信息》。如果建设工程项目实施阶段的《广州地区建设工程常用材料税前综合价格》和《广州地区建设工程材料（设备）厂商价格信息》没有相关的材料、设备价格，可以按市场价进行报价。</w:t>
      </w:r>
    </w:p>
    <w:p>
      <w:pPr>
        <w:overflowPunct w:val="0"/>
        <w:spacing w:line="440" w:lineRule="exact"/>
        <w:ind w:firstLine="480" w:firstLineChars="200"/>
        <w:rPr>
          <w:rFonts w:ascii="宋体" w:hAnsi="宋体" w:cs="宋体"/>
          <w:sz w:val="24"/>
        </w:rPr>
      </w:pPr>
      <w:r>
        <w:rPr>
          <w:rFonts w:hint="eastAsia" w:ascii="宋体" w:hAnsi="宋体" w:cs="宋体"/>
          <w:sz w:val="24"/>
        </w:rPr>
        <w:t>（2）招标文件、施工图纸、工程量清单、施工现场情况、招标答疑及有关补充文件资料。</w:t>
      </w:r>
    </w:p>
    <w:p>
      <w:pPr>
        <w:overflowPunct w:val="0"/>
        <w:spacing w:line="440" w:lineRule="exact"/>
        <w:ind w:firstLine="480" w:firstLineChars="200"/>
        <w:rPr>
          <w:rFonts w:ascii="宋体" w:hAnsi="宋体" w:cs="宋体"/>
          <w:sz w:val="24"/>
        </w:rPr>
      </w:pPr>
      <w:r>
        <w:rPr>
          <w:rFonts w:hint="eastAsia" w:ascii="宋体" w:hAnsi="宋体" w:cs="宋体"/>
          <w:sz w:val="24"/>
        </w:rPr>
        <w:t>（3）投标人自身实力、施工、技术和资金能力、经营状况、市场竞争和施工过程中承受风险的能力等。</w:t>
      </w:r>
    </w:p>
    <w:p>
      <w:pPr>
        <w:overflowPunct w:val="0"/>
        <w:spacing w:line="440" w:lineRule="exact"/>
        <w:ind w:firstLine="480" w:firstLineChars="200"/>
        <w:rPr>
          <w:rFonts w:ascii="宋体" w:hAnsi="宋体" w:cs="宋体"/>
          <w:sz w:val="24"/>
        </w:rPr>
      </w:pPr>
      <w:r>
        <w:rPr>
          <w:rFonts w:hint="eastAsia" w:ascii="宋体" w:hAnsi="宋体" w:cs="宋体"/>
          <w:sz w:val="24"/>
        </w:rPr>
        <w:t>（4）招标人要求使用的材料规格、型号、品牌。</w:t>
      </w:r>
    </w:p>
    <w:p>
      <w:pPr>
        <w:overflowPunct w:val="0"/>
        <w:spacing w:line="440" w:lineRule="exact"/>
        <w:ind w:firstLine="480" w:firstLineChars="200"/>
        <w:rPr>
          <w:rFonts w:ascii="宋体" w:hAnsi="宋体" w:cs="宋体"/>
          <w:sz w:val="24"/>
        </w:rPr>
      </w:pPr>
      <w:r>
        <w:rPr>
          <w:rFonts w:hint="eastAsia" w:ascii="宋体" w:hAnsi="宋体" w:cs="宋体"/>
          <w:sz w:val="24"/>
        </w:rPr>
        <w:t>（5）措施项目费用：绿色施工安全防护措施费按《广东省建设工程计价依据（2018)》有关规定，投标人按招标人发布的绿色施工安全防护措施费用列入投标报价，在投标时不得删减，且不参与竞价。其他措施费报价应符合成本原则，不能为零，也不能采用不平衡报价，人为抬高单价措施项目的报价。若投标人未列入投标报价的视作为已包含在投标总价中，结算时不另行计算措施费。</w:t>
      </w:r>
    </w:p>
    <w:p>
      <w:pPr>
        <w:overflowPunct w:val="0"/>
        <w:spacing w:line="440" w:lineRule="exact"/>
        <w:ind w:firstLine="480" w:firstLineChars="200"/>
        <w:rPr>
          <w:rFonts w:ascii="宋体" w:hAnsi="宋体" w:cs="宋体"/>
          <w:sz w:val="24"/>
        </w:rPr>
      </w:pPr>
      <w:r>
        <w:rPr>
          <w:rFonts w:hint="eastAsia" w:ascii="宋体" w:hAnsi="宋体" w:cs="宋体"/>
          <w:sz w:val="24"/>
        </w:rPr>
        <w:t>（二）投标文件及格式要件（符合性要求）：</w:t>
      </w:r>
    </w:p>
    <w:p>
      <w:pPr>
        <w:overflowPunct w:val="0"/>
        <w:spacing w:line="440" w:lineRule="exact"/>
        <w:ind w:firstLine="482" w:firstLineChars="200"/>
        <w:rPr>
          <w:rFonts w:ascii="宋体" w:hAnsi="宋体" w:cs="宋体"/>
          <w:b/>
          <w:bCs/>
          <w:sz w:val="24"/>
        </w:rPr>
      </w:pPr>
      <w:r>
        <w:rPr>
          <w:rFonts w:hint="eastAsia" w:ascii="宋体" w:hAnsi="宋体" w:cs="宋体"/>
          <w:b/>
          <w:bCs/>
          <w:sz w:val="24"/>
        </w:rPr>
        <w:t>1．投标书必须在封面上正确标注“正本”或“副本”字样。投标书要求一式三份（其中正本一份，副本二份），电子光盘二张（必须在装电子光盘的信封上注明工程名称和公司名称，光盘内容含投标经济标书正本的扫描件、投标经济标书广联达软件版及表格文件、投标其他文件电子版本），中标单位在收到中标通知书三天内向建设单位补提交一式二份技术及经济投标书（需加盖公章）和电子光盘一张。</w:t>
      </w:r>
    </w:p>
    <w:p>
      <w:pPr>
        <w:overflowPunct w:val="0"/>
        <w:spacing w:line="440" w:lineRule="exact"/>
        <w:ind w:firstLine="480" w:firstLineChars="200"/>
        <w:rPr>
          <w:rFonts w:ascii="宋体" w:hAnsi="宋体" w:cs="宋体"/>
          <w:sz w:val="24"/>
        </w:rPr>
      </w:pPr>
      <w:r>
        <w:rPr>
          <w:rFonts w:hint="eastAsia" w:ascii="宋体" w:hAnsi="宋体" w:cs="宋体"/>
          <w:sz w:val="24"/>
        </w:rPr>
        <w:t>2．投标书封面须由投标人的法定代表人或其授权委托人签名或盖章，并加盖投标人（法人）公章。</w:t>
      </w:r>
    </w:p>
    <w:p>
      <w:pPr>
        <w:overflowPunct w:val="0"/>
        <w:spacing w:line="440" w:lineRule="exact"/>
        <w:ind w:firstLine="480" w:firstLineChars="200"/>
        <w:rPr>
          <w:rFonts w:ascii="宋体" w:hAnsi="宋体" w:cs="宋体"/>
          <w:b/>
          <w:bCs/>
          <w:sz w:val="24"/>
        </w:rPr>
      </w:pPr>
      <w:r>
        <w:rPr>
          <w:rFonts w:hint="eastAsia" w:ascii="宋体" w:hAnsi="宋体" w:cs="宋体"/>
          <w:sz w:val="24"/>
        </w:rPr>
        <w:t>3．投标书按</w:t>
      </w:r>
      <w:r>
        <w:rPr>
          <w:rFonts w:hint="eastAsia" w:ascii="宋体" w:hAnsi="宋体" w:cs="宋体"/>
          <w:bCs/>
          <w:sz w:val="24"/>
        </w:rPr>
        <w:t>技术</w:t>
      </w:r>
      <w:r>
        <w:rPr>
          <w:rFonts w:hint="eastAsia" w:ascii="宋体" w:hAnsi="宋体" w:cs="宋体"/>
          <w:sz w:val="24"/>
        </w:rPr>
        <w:t>标书、经济标书装订成册分别密封包装，在封袋的封口加盖投标单位公章。封袋上应注明：</w:t>
      </w:r>
    </w:p>
    <w:p>
      <w:pPr>
        <w:overflowPunct w:val="0"/>
        <w:spacing w:line="440" w:lineRule="exact"/>
        <w:ind w:firstLine="482" w:firstLineChars="200"/>
        <w:rPr>
          <w:rFonts w:ascii="宋体" w:hAnsi="宋体" w:cs="宋体"/>
          <w:b/>
          <w:bCs/>
          <w:sz w:val="24"/>
        </w:rPr>
      </w:pPr>
      <w:r>
        <w:rPr>
          <w:rFonts w:hint="eastAsia" w:ascii="宋体" w:hAnsi="宋体" w:cs="宋体"/>
          <w:b/>
          <w:bCs/>
          <w:sz w:val="24"/>
        </w:rPr>
        <w:t>“</w:t>
      </w:r>
      <w:r>
        <w:rPr>
          <w:rFonts w:hint="eastAsia" w:ascii="宋体" w:hAnsi="宋体" w:cs="宋体"/>
          <w:b/>
          <w:bCs/>
          <w:sz w:val="24"/>
          <w:lang w:eastAsia="zh-CN"/>
        </w:rPr>
        <w:t>白云山校区国际学院公共区域局部修缮项目</w:t>
      </w:r>
      <w:r>
        <w:rPr>
          <w:rFonts w:hint="eastAsia" w:ascii="宋体" w:hAnsi="宋体" w:cs="宋体"/>
          <w:b/>
          <w:bCs/>
          <w:sz w:val="24"/>
        </w:rPr>
        <w:t xml:space="preserve"> 技术投标书”；</w:t>
      </w:r>
    </w:p>
    <w:p>
      <w:pPr>
        <w:overflowPunct w:val="0"/>
        <w:spacing w:line="440" w:lineRule="exact"/>
        <w:ind w:firstLine="482" w:firstLineChars="200"/>
        <w:rPr>
          <w:rFonts w:ascii="宋体" w:hAnsi="宋体" w:cs="宋体"/>
          <w:b/>
          <w:bCs/>
          <w:sz w:val="24"/>
        </w:rPr>
      </w:pPr>
      <w:r>
        <w:rPr>
          <w:rFonts w:hint="eastAsia" w:ascii="宋体" w:hAnsi="宋体" w:cs="宋体"/>
          <w:b/>
          <w:bCs/>
          <w:sz w:val="24"/>
        </w:rPr>
        <w:t>“</w:t>
      </w:r>
      <w:r>
        <w:rPr>
          <w:rFonts w:hint="eastAsia" w:ascii="宋体" w:hAnsi="宋体" w:cs="宋体"/>
          <w:b/>
          <w:bCs/>
          <w:sz w:val="24"/>
          <w:lang w:eastAsia="zh-CN"/>
        </w:rPr>
        <w:t>白云山校区国际学院公共区域局部修缮项目</w:t>
      </w:r>
      <w:r>
        <w:rPr>
          <w:rFonts w:hint="eastAsia" w:ascii="宋体" w:hAnsi="宋体" w:cs="宋体"/>
          <w:b/>
          <w:bCs/>
          <w:sz w:val="24"/>
        </w:rPr>
        <w:t xml:space="preserve"> 经济投标书”。</w:t>
      </w:r>
    </w:p>
    <w:p>
      <w:pPr>
        <w:overflowPunct w:val="0"/>
        <w:spacing w:line="440" w:lineRule="exact"/>
        <w:ind w:firstLine="482" w:firstLineChars="200"/>
        <w:rPr>
          <w:rFonts w:ascii="宋体" w:hAnsi="宋体" w:cs="宋体"/>
          <w:b/>
          <w:bCs/>
          <w:sz w:val="24"/>
        </w:rPr>
      </w:pPr>
      <w:r>
        <w:rPr>
          <w:rFonts w:hint="eastAsia" w:ascii="宋体" w:hAnsi="宋体" w:cs="宋体"/>
          <w:b/>
          <w:bCs/>
          <w:sz w:val="24"/>
        </w:rPr>
        <w:t>（三）投标书内容要求（实质性要求）：</w:t>
      </w:r>
    </w:p>
    <w:p>
      <w:pPr>
        <w:overflowPunct w:val="0"/>
        <w:spacing w:line="440" w:lineRule="exact"/>
        <w:ind w:firstLine="482" w:firstLineChars="200"/>
        <w:rPr>
          <w:rFonts w:ascii="宋体" w:hAnsi="宋体" w:cs="宋体"/>
          <w:bCs/>
          <w:sz w:val="24"/>
        </w:rPr>
      </w:pPr>
      <w:r>
        <w:rPr>
          <w:rFonts w:hint="eastAsia" w:ascii="宋体" w:hAnsi="宋体" w:cs="宋体"/>
          <w:b/>
          <w:sz w:val="24"/>
        </w:rPr>
        <w:t>技术标部分：</w:t>
      </w:r>
      <w:r>
        <w:rPr>
          <w:rFonts w:hint="eastAsia" w:ascii="宋体" w:hAnsi="宋体" w:cs="宋体"/>
          <w:bCs/>
          <w:sz w:val="24"/>
        </w:rPr>
        <w:t xml:space="preserve"> </w:t>
      </w:r>
    </w:p>
    <w:p>
      <w:pPr>
        <w:numPr>
          <w:ilvl w:val="0"/>
          <w:numId w:val="2"/>
        </w:numPr>
        <w:overflowPunct w:val="0"/>
        <w:spacing w:line="420" w:lineRule="exact"/>
        <w:ind w:left="0" w:firstLine="480" w:firstLineChars="200"/>
        <w:jc w:val="left"/>
        <w:rPr>
          <w:rFonts w:ascii="宋体" w:hAnsi="宋体" w:cs="宋体"/>
          <w:sz w:val="24"/>
        </w:rPr>
      </w:pPr>
      <w:r>
        <w:rPr>
          <w:rFonts w:hint="eastAsia" w:ascii="宋体" w:hAnsi="宋体" w:cs="宋体"/>
          <w:sz w:val="24"/>
        </w:rPr>
        <w:t>技术响应总目录；</w:t>
      </w:r>
    </w:p>
    <w:p>
      <w:pPr>
        <w:numPr>
          <w:ilvl w:val="0"/>
          <w:numId w:val="2"/>
        </w:numPr>
        <w:overflowPunct w:val="0"/>
        <w:spacing w:line="420" w:lineRule="exact"/>
        <w:ind w:left="0" w:firstLine="480" w:firstLineChars="200"/>
        <w:jc w:val="left"/>
        <w:rPr>
          <w:rFonts w:ascii="宋体" w:hAnsi="宋体" w:cs="宋体"/>
          <w:sz w:val="24"/>
        </w:rPr>
      </w:pPr>
      <w:r>
        <w:rPr>
          <w:rFonts w:hint="eastAsia" w:ascii="宋体" w:hAnsi="宋体" w:cs="宋体"/>
          <w:sz w:val="24"/>
        </w:rPr>
        <w:t>法定代表人证明书（原件），如法定代表人委托他人代理则需要同时附上法人授权委托证明书（原件）；</w:t>
      </w:r>
    </w:p>
    <w:p>
      <w:pPr>
        <w:numPr>
          <w:ilvl w:val="0"/>
          <w:numId w:val="2"/>
        </w:numPr>
        <w:overflowPunct w:val="0"/>
        <w:spacing w:line="420" w:lineRule="exact"/>
        <w:ind w:left="0" w:firstLine="480" w:firstLineChars="200"/>
        <w:jc w:val="left"/>
        <w:rPr>
          <w:rFonts w:ascii="宋体" w:hAnsi="宋体" w:cs="宋体"/>
          <w:sz w:val="24"/>
        </w:rPr>
      </w:pPr>
      <w:r>
        <w:rPr>
          <w:rFonts w:hint="eastAsia" w:ascii="宋体" w:hAnsi="宋体" w:cs="宋体"/>
          <w:sz w:val="24"/>
        </w:rPr>
        <w:t>投标人营业执照、资质证书和安全生产许可证复印件并加盖公章；</w:t>
      </w:r>
    </w:p>
    <w:p>
      <w:pPr>
        <w:numPr>
          <w:ilvl w:val="0"/>
          <w:numId w:val="2"/>
        </w:numPr>
        <w:overflowPunct w:val="0"/>
        <w:spacing w:line="420" w:lineRule="exact"/>
        <w:ind w:left="0" w:firstLine="480" w:firstLineChars="200"/>
        <w:jc w:val="left"/>
        <w:rPr>
          <w:rFonts w:ascii="宋体" w:hAnsi="宋体" w:cs="宋体"/>
          <w:sz w:val="24"/>
        </w:rPr>
      </w:pPr>
      <w:r>
        <w:rPr>
          <w:rFonts w:hint="eastAsia" w:ascii="宋体" w:hAnsi="宋体" w:cs="宋体"/>
          <w:sz w:val="24"/>
        </w:rPr>
        <w:t>广东政府采购智慧云平台定点（装修、修缮工程）资格，服务地域为广州（截图）。</w:t>
      </w:r>
    </w:p>
    <w:p>
      <w:pPr>
        <w:numPr>
          <w:ilvl w:val="0"/>
          <w:numId w:val="2"/>
        </w:numPr>
        <w:overflowPunct w:val="0"/>
        <w:spacing w:line="420" w:lineRule="exact"/>
        <w:ind w:left="0" w:firstLine="480" w:firstLineChars="200"/>
        <w:jc w:val="left"/>
        <w:rPr>
          <w:rFonts w:ascii="宋体" w:hAnsi="宋体" w:cs="宋体"/>
          <w:sz w:val="24"/>
        </w:rPr>
      </w:pPr>
      <w:r>
        <w:rPr>
          <w:rFonts w:hint="eastAsia" w:ascii="宋体" w:hAnsi="宋体" w:cs="宋体"/>
          <w:sz w:val="24"/>
        </w:rPr>
        <w:t>投标项目委派建造师资格证、建造师简历表、安全培训考核合格证（B类）并加盖公章；</w:t>
      </w:r>
    </w:p>
    <w:p>
      <w:pPr>
        <w:numPr>
          <w:ilvl w:val="0"/>
          <w:numId w:val="2"/>
        </w:numPr>
        <w:overflowPunct w:val="0"/>
        <w:spacing w:line="420" w:lineRule="exact"/>
        <w:ind w:left="0" w:firstLine="480" w:firstLineChars="200"/>
        <w:jc w:val="left"/>
        <w:rPr>
          <w:rFonts w:ascii="宋体" w:hAnsi="宋体" w:cs="宋体"/>
          <w:sz w:val="24"/>
        </w:rPr>
      </w:pPr>
      <w:r>
        <w:rPr>
          <w:rFonts w:hint="eastAsia" w:ascii="宋体" w:hAnsi="宋体" w:cs="宋体"/>
          <w:sz w:val="24"/>
        </w:rPr>
        <w:t>投标项目委派的</w:t>
      </w:r>
      <w:r>
        <w:rPr>
          <w:rFonts w:hint="eastAsia" w:ascii="宋体" w:hAnsi="宋体" w:cs="宋体"/>
          <w:bCs/>
          <w:sz w:val="24"/>
        </w:rPr>
        <w:t>造价工程师（编制人、复核人）的资格证明材料复印件并加盖公章；</w:t>
      </w:r>
    </w:p>
    <w:p>
      <w:pPr>
        <w:numPr>
          <w:ilvl w:val="0"/>
          <w:numId w:val="2"/>
        </w:numPr>
        <w:overflowPunct w:val="0"/>
        <w:spacing w:line="420" w:lineRule="exact"/>
        <w:ind w:left="0" w:firstLine="480" w:firstLineChars="200"/>
        <w:jc w:val="left"/>
        <w:rPr>
          <w:rFonts w:ascii="宋体" w:hAnsi="宋体" w:cs="宋体"/>
          <w:sz w:val="24"/>
        </w:rPr>
      </w:pPr>
      <w:r>
        <w:rPr>
          <w:rFonts w:hint="eastAsia" w:ascii="宋体" w:hAnsi="宋体" w:cs="宋体"/>
          <w:sz w:val="24"/>
        </w:rPr>
        <w:t>有依法缴纳税收和社会保障资金的良好记录；（提供纳税证明及缴纳社会保障资金材料复印件，如依法免税和依法不需要缴纳社会保障资金的，应提供相应证明文件）</w:t>
      </w:r>
    </w:p>
    <w:p>
      <w:pPr>
        <w:numPr>
          <w:ilvl w:val="0"/>
          <w:numId w:val="2"/>
        </w:numPr>
        <w:overflowPunct w:val="0"/>
        <w:spacing w:line="420" w:lineRule="exact"/>
        <w:ind w:left="0" w:firstLine="480" w:firstLineChars="200"/>
        <w:jc w:val="left"/>
        <w:rPr>
          <w:rFonts w:ascii="宋体" w:hAnsi="宋体" w:cs="宋体"/>
          <w:sz w:val="24"/>
        </w:rPr>
      </w:pPr>
      <w:r>
        <w:rPr>
          <w:rFonts w:hint="eastAsia" w:ascii="宋体" w:hAnsi="宋体" w:cs="宋体"/>
          <w:sz w:val="24"/>
        </w:rPr>
        <w:t>施工组织设计方案：</w:t>
      </w:r>
    </w:p>
    <w:p>
      <w:pPr>
        <w:numPr>
          <w:ilvl w:val="0"/>
          <w:numId w:val="3"/>
        </w:numPr>
        <w:overflowPunct w:val="0"/>
        <w:spacing w:line="420" w:lineRule="exact"/>
        <w:jc w:val="left"/>
        <w:rPr>
          <w:rFonts w:ascii="宋体" w:hAnsi="宋体" w:cs="宋体"/>
          <w:sz w:val="24"/>
        </w:rPr>
      </w:pPr>
      <w:r>
        <w:rPr>
          <w:rFonts w:hint="eastAsia" w:ascii="宋体" w:hAnsi="宋体" w:cs="宋体"/>
          <w:sz w:val="24"/>
        </w:rPr>
        <w:t xml:space="preserve">工程综合简要说明（含企业概况、施工说明、承包内容、施工工期等）； </w:t>
      </w:r>
    </w:p>
    <w:p>
      <w:pPr>
        <w:overflowPunct w:val="0"/>
        <w:spacing w:line="420" w:lineRule="exact"/>
        <w:ind w:firstLine="480" w:firstLineChars="200"/>
        <w:jc w:val="left"/>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 施工方案和施工方法（包括施工组织设计要点、质量、进度、安全文明施工、分项分部工程施工措施、方法以及施工要点及解决措施方法等要素；各种图表如劳动力和材料设备计划、资金使用计划、工期进度计划表等）。格式由投标人自定；</w:t>
      </w:r>
    </w:p>
    <w:p>
      <w:pPr>
        <w:overflowPunct w:val="0"/>
        <w:spacing w:line="420" w:lineRule="exact"/>
        <w:ind w:firstLine="480" w:firstLineChars="200"/>
        <w:jc w:val="left"/>
        <w:rPr>
          <w:rFonts w:ascii="宋体" w:hAnsi="宋体" w:cs="宋体"/>
          <w:sz w:val="24"/>
        </w:rPr>
      </w:pPr>
      <w:r>
        <w:rPr>
          <w:rFonts w:ascii="宋体" w:hAnsi="宋体" w:cs="宋体"/>
          <w:sz w:val="24"/>
        </w:rPr>
        <w:t>10</w:t>
      </w:r>
      <w:r>
        <w:rPr>
          <w:rFonts w:hint="eastAsia" w:ascii="宋体" w:hAnsi="宋体" w:cs="宋体"/>
          <w:sz w:val="24"/>
        </w:rPr>
        <w:t>.</w:t>
      </w:r>
      <w:r>
        <w:rPr>
          <w:rFonts w:ascii="宋体" w:hAnsi="宋体" w:cs="宋体"/>
          <w:sz w:val="24"/>
        </w:rPr>
        <w:t xml:space="preserve"> </w:t>
      </w:r>
      <w:r>
        <w:rPr>
          <w:rFonts w:hint="eastAsia" w:ascii="宋体" w:hAnsi="宋体" w:cs="宋体"/>
          <w:sz w:val="24"/>
        </w:rPr>
        <w:t>保证工程按期交付使用的竣工资料和技术资料的移交、保证工程施工全过程配备造价工程师负责造价文件及结算文件及时提交、工程资料及时归档（移交校档案馆）的保证措施；</w:t>
      </w:r>
    </w:p>
    <w:p>
      <w:pPr>
        <w:overflowPunct w:val="0"/>
        <w:spacing w:line="420" w:lineRule="exact"/>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 xml:space="preserve">1. </w:t>
      </w:r>
      <w:r>
        <w:rPr>
          <w:rFonts w:hint="eastAsia" w:ascii="宋体" w:hAnsi="宋体" w:cs="宋体"/>
          <w:sz w:val="24"/>
        </w:rPr>
        <w:t>投标单位在工程保修期内的服务承诺及措施；</w:t>
      </w:r>
    </w:p>
    <w:p>
      <w:pPr>
        <w:overflowPunct w:val="0"/>
        <w:spacing w:line="420" w:lineRule="exact"/>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 xml:space="preserve">2. </w:t>
      </w:r>
      <w:r>
        <w:rPr>
          <w:rFonts w:hint="eastAsia" w:ascii="宋体" w:hAnsi="宋体" w:cs="宋体"/>
          <w:sz w:val="24"/>
        </w:rPr>
        <w:t>其他投标文件。</w:t>
      </w:r>
    </w:p>
    <w:p>
      <w:pPr>
        <w:overflowPunct w:val="0"/>
        <w:spacing w:line="440" w:lineRule="exact"/>
        <w:ind w:firstLine="482" w:firstLineChars="200"/>
        <w:rPr>
          <w:rFonts w:ascii="宋体" w:hAnsi="宋体" w:cs="宋体"/>
          <w:b/>
          <w:sz w:val="24"/>
        </w:rPr>
      </w:pPr>
      <w:r>
        <w:rPr>
          <w:rFonts w:hint="eastAsia" w:ascii="宋体" w:hAnsi="宋体" w:cs="宋体"/>
          <w:b/>
          <w:sz w:val="24"/>
        </w:rPr>
        <w:t xml:space="preserve">经济标部分： </w:t>
      </w:r>
    </w:p>
    <w:p>
      <w:pPr>
        <w:overflowPunct w:val="0"/>
        <w:spacing w:line="440" w:lineRule="exact"/>
        <w:ind w:firstLine="480" w:firstLineChars="200"/>
        <w:rPr>
          <w:rFonts w:ascii="宋体" w:hAnsi="宋体" w:cs="宋体"/>
          <w:sz w:val="24"/>
        </w:rPr>
      </w:pPr>
      <w:r>
        <w:rPr>
          <w:rFonts w:hint="eastAsia" w:ascii="宋体" w:hAnsi="宋体" w:cs="宋体"/>
          <w:sz w:val="24"/>
        </w:rPr>
        <w:t xml:space="preserve">1．经济标书总目录； </w:t>
      </w:r>
    </w:p>
    <w:p>
      <w:pPr>
        <w:overflowPunct w:val="0"/>
        <w:spacing w:line="440" w:lineRule="exact"/>
        <w:ind w:firstLine="480" w:firstLineChars="200"/>
        <w:rPr>
          <w:rFonts w:ascii="宋体" w:hAnsi="宋体" w:cs="宋体"/>
          <w:sz w:val="24"/>
        </w:rPr>
      </w:pPr>
      <w:r>
        <w:rPr>
          <w:rFonts w:hint="eastAsia" w:ascii="宋体" w:hAnsi="宋体" w:cs="宋体"/>
          <w:sz w:val="24"/>
        </w:rPr>
        <w:t>2．投标承诺书；                           按本招标文件附件1格式</w:t>
      </w:r>
    </w:p>
    <w:p>
      <w:pPr>
        <w:overflowPunct w:val="0"/>
        <w:spacing w:line="440" w:lineRule="exact"/>
        <w:ind w:firstLine="480" w:firstLineChars="200"/>
        <w:rPr>
          <w:rFonts w:ascii="宋体" w:hAnsi="宋体" w:cs="宋体"/>
          <w:sz w:val="24"/>
        </w:rPr>
      </w:pPr>
      <w:r>
        <w:rPr>
          <w:rFonts w:hint="eastAsia" w:ascii="宋体" w:hAnsi="宋体" w:cs="宋体"/>
          <w:sz w:val="24"/>
        </w:rPr>
        <w:t>3．总说明；                               格式按附表</w:t>
      </w:r>
    </w:p>
    <w:p>
      <w:pPr>
        <w:overflowPunct w:val="0"/>
        <w:spacing w:line="440" w:lineRule="exact"/>
        <w:ind w:firstLine="480" w:firstLineChars="200"/>
        <w:rPr>
          <w:rFonts w:ascii="宋体" w:hAnsi="宋体" w:cs="宋体"/>
          <w:sz w:val="24"/>
        </w:rPr>
      </w:pPr>
      <w:r>
        <w:rPr>
          <w:rFonts w:hint="eastAsia" w:ascii="宋体" w:hAnsi="宋体" w:cs="宋体"/>
          <w:sz w:val="24"/>
        </w:rPr>
        <w:t>4. 投标报价封面；                         格式按附表</w:t>
      </w:r>
    </w:p>
    <w:p>
      <w:pPr>
        <w:overflowPunct w:val="0"/>
        <w:spacing w:line="440" w:lineRule="exact"/>
        <w:ind w:firstLine="480" w:firstLineChars="200"/>
        <w:rPr>
          <w:rFonts w:ascii="宋体" w:hAnsi="宋体" w:cs="宋体"/>
          <w:sz w:val="24"/>
        </w:rPr>
      </w:pPr>
      <w:r>
        <w:rPr>
          <w:rFonts w:hint="eastAsia" w:ascii="宋体" w:hAnsi="宋体" w:cs="宋体"/>
          <w:sz w:val="24"/>
        </w:rPr>
        <w:t>5．投标价汇总表；                         格式按附表</w:t>
      </w:r>
    </w:p>
    <w:p>
      <w:pPr>
        <w:overflowPunct w:val="0"/>
        <w:spacing w:line="440" w:lineRule="exact"/>
        <w:ind w:firstLine="480" w:firstLineChars="200"/>
        <w:rPr>
          <w:rFonts w:ascii="宋体" w:hAnsi="宋体" w:cs="宋体"/>
          <w:sz w:val="24"/>
        </w:rPr>
      </w:pPr>
      <w:r>
        <w:rPr>
          <w:rFonts w:hint="eastAsia" w:ascii="宋体" w:hAnsi="宋体" w:cs="宋体"/>
          <w:sz w:val="24"/>
        </w:rPr>
        <w:t xml:space="preserve">6. 分部分项工程报价表；                   </w:t>
      </w:r>
    </w:p>
    <w:p>
      <w:pPr>
        <w:overflowPunct w:val="0"/>
        <w:spacing w:line="440" w:lineRule="exact"/>
        <w:ind w:firstLine="480" w:firstLineChars="200"/>
        <w:rPr>
          <w:rFonts w:ascii="宋体" w:hAnsi="宋体" w:cs="宋体"/>
          <w:sz w:val="24"/>
        </w:rPr>
      </w:pPr>
      <w:r>
        <w:rPr>
          <w:rFonts w:hint="eastAsia" w:ascii="宋体" w:hAnsi="宋体" w:cs="宋体"/>
          <w:sz w:val="24"/>
        </w:rPr>
        <w:t xml:space="preserve">7. 综合单价分析表（二）；                   </w:t>
      </w:r>
    </w:p>
    <w:p>
      <w:pPr>
        <w:overflowPunct w:val="0"/>
        <w:spacing w:line="440" w:lineRule="exact"/>
        <w:ind w:firstLine="480" w:firstLineChars="200"/>
        <w:rPr>
          <w:rFonts w:ascii="宋体" w:hAnsi="宋体" w:cs="宋体"/>
          <w:sz w:val="24"/>
        </w:rPr>
      </w:pPr>
      <w:r>
        <w:rPr>
          <w:rFonts w:hint="eastAsia" w:ascii="宋体" w:hAnsi="宋体" w:cs="宋体"/>
          <w:sz w:val="24"/>
        </w:rPr>
        <w:t xml:space="preserve">8. 总价措施项目清单与计价表 ；             </w:t>
      </w:r>
    </w:p>
    <w:p>
      <w:pPr>
        <w:overflowPunct w:val="0"/>
        <w:spacing w:line="440" w:lineRule="exact"/>
        <w:ind w:firstLine="480" w:firstLineChars="200"/>
        <w:rPr>
          <w:rFonts w:ascii="宋体" w:hAnsi="宋体" w:cs="宋体"/>
          <w:sz w:val="24"/>
        </w:rPr>
      </w:pPr>
      <w:r>
        <w:rPr>
          <w:rFonts w:hint="eastAsia" w:ascii="宋体" w:hAnsi="宋体" w:cs="宋体"/>
          <w:sz w:val="24"/>
        </w:rPr>
        <w:t xml:space="preserve">9. 其他项目清单与计价汇总表；             </w:t>
      </w:r>
    </w:p>
    <w:p>
      <w:pPr>
        <w:overflowPunct w:val="0"/>
        <w:spacing w:line="440" w:lineRule="exact"/>
        <w:ind w:firstLine="480" w:firstLineChars="200"/>
        <w:rPr>
          <w:rFonts w:ascii="宋体" w:hAnsi="宋体" w:cs="宋体"/>
          <w:sz w:val="24"/>
        </w:rPr>
      </w:pPr>
      <w:r>
        <w:rPr>
          <w:rFonts w:hint="eastAsia" w:ascii="宋体" w:hAnsi="宋体" w:cs="宋体"/>
          <w:sz w:val="24"/>
        </w:rPr>
        <w:t xml:space="preserve">10. 规费和税金项目计价表；                </w:t>
      </w:r>
    </w:p>
    <w:p>
      <w:pPr>
        <w:overflowPunct w:val="0"/>
        <w:spacing w:line="440" w:lineRule="exact"/>
        <w:ind w:firstLine="480" w:firstLineChars="200"/>
        <w:rPr>
          <w:rFonts w:ascii="宋体" w:hAnsi="宋体" w:cs="宋体"/>
          <w:sz w:val="24"/>
        </w:rPr>
      </w:pPr>
      <w:r>
        <w:rPr>
          <w:rFonts w:hint="eastAsia" w:ascii="宋体" w:hAnsi="宋体" w:cs="宋体"/>
          <w:sz w:val="24"/>
        </w:rPr>
        <w:t xml:space="preserve">11. 承包人提供主要材料和工程设备一览表；   </w:t>
      </w:r>
    </w:p>
    <w:p>
      <w:pPr>
        <w:overflowPunct w:val="0"/>
        <w:spacing w:line="440" w:lineRule="exact"/>
        <w:ind w:firstLine="480" w:firstLineChars="200"/>
        <w:rPr>
          <w:rFonts w:ascii="宋体" w:hAnsi="宋体" w:cs="宋体"/>
          <w:sz w:val="24"/>
        </w:rPr>
      </w:pPr>
      <w:r>
        <w:rPr>
          <w:rFonts w:hint="eastAsia" w:ascii="宋体" w:hAnsi="宋体" w:cs="宋体"/>
          <w:sz w:val="24"/>
        </w:rPr>
        <w:t xml:space="preserve">12. 主要材料品牌选用表（按本招标文件附件2格式）； </w:t>
      </w:r>
    </w:p>
    <w:p>
      <w:pPr>
        <w:overflowPunct w:val="0"/>
        <w:spacing w:line="440" w:lineRule="exact"/>
        <w:ind w:firstLine="480" w:firstLineChars="200"/>
        <w:rPr>
          <w:rFonts w:ascii="宋体" w:hAnsi="宋体" w:cs="宋体"/>
          <w:sz w:val="24"/>
        </w:rPr>
      </w:pPr>
      <w:r>
        <w:rPr>
          <w:rFonts w:hint="eastAsia" w:ascii="宋体" w:hAnsi="宋体" w:cs="宋体"/>
          <w:sz w:val="24"/>
        </w:rPr>
        <w:t>13. 其他投标文件附件。</w:t>
      </w:r>
    </w:p>
    <w:p>
      <w:pPr>
        <w:overflowPunct w:val="0"/>
        <w:spacing w:line="440" w:lineRule="exact"/>
        <w:ind w:firstLine="480" w:firstLineChars="200"/>
        <w:rPr>
          <w:rFonts w:ascii="宋体" w:hAnsi="宋体" w:cs="宋体"/>
          <w:sz w:val="24"/>
        </w:rPr>
      </w:pPr>
      <w:r>
        <w:rPr>
          <w:rFonts w:hint="eastAsia" w:ascii="宋体" w:hAnsi="宋体" w:cs="宋体"/>
          <w:sz w:val="24"/>
        </w:rPr>
        <w:t>经济标书说明：</w:t>
      </w:r>
    </w:p>
    <w:p>
      <w:pPr>
        <w:numPr>
          <w:ilvl w:val="0"/>
          <w:numId w:val="4"/>
        </w:numPr>
        <w:overflowPunct w:val="0"/>
        <w:spacing w:line="440" w:lineRule="exact"/>
        <w:ind w:firstLine="480" w:firstLineChars="200"/>
        <w:rPr>
          <w:rFonts w:ascii="宋体" w:hAnsi="宋体" w:cs="宋体"/>
          <w:sz w:val="24"/>
        </w:rPr>
      </w:pPr>
      <w:r>
        <w:rPr>
          <w:rFonts w:hint="eastAsia" w:ascii="宋体" w:hAnsi="宋体" w:cs="宋体"/>
          <w:sz w:val="24"/>
        </w:rPr>
        <w:t>第6项投标价总说明至第1</w:t>
      </w:r>
      <w:r>
        <w:rPr>
          <w:rFonts w:ascii="宋体" w:hAnsi="宋体" w:cs="宋体"/>
          <w:sz w:val="24"/>
        </w:rPr>
        <w:t>1</w:t>
      </w:r>
      <w:r>
        <w:rPr>
          <w:rFonts w:hint="eastAsia" w:ascii="宋体" w:hAnsi="宋体" w:cs="宋体"/>
          <w:sz w:val="24"/>
        </w:rPr>
        <w:t>项承包人提供主要材料和工程设备一览表等报价文件格式，执行《建设工程工程量清单计价规范》（GB50500-2013）。</w:t>
      </w:r>
    </w:p>
    <w:p>
      <w:pPr>
        <w:overflowPunct w:val="0"/>
        <w:spacing w:line="440" w:lineRule="exact"/>
        <w:ind w:firstLine="480" w:firstLineChars="200"/>
        <w:rPr>
          <w:rFonts w:ascii="宋体" w:hAnsi="宋体" w:cs="宋体"/>
          <w:sz w:val="24"/>
        </w:rPr>
      </w:pPr>
      <w:r>
        <w:rPr>
          <w:rFonts w:hint="eastAsia" w:ascii="宋体" w:hAnsi="宋体" w:cs="宋体"/>
          <w:bCs/>
          <w:sz w:val="24"/>
        </w:rPr>
        <w:t>2. 经济标书的报价文件必须由具有造价资质的造价人员编制并签名和加盖资质章，编制人与复核人应是两个不同的造价人员。编制人需为全国建设工程造价员、一级注册造价工程师或二级注册造价工程师；复核人需为一级注册造价工程师。</w:t>
      </w:r>
    </w:p>
    <w:p>
      <w:pPr>
        <w:overflowPunct w:val="0"/>
        <w:spacing w:line="420" w:lineRule="exact"/>
        <w:ind w:firstLine="480" w:firstLineChars="200"/>
        <w:jc w:val="left"/>
        <w:rPr>
          <w:rFonts w:ascii="宋体" w:hAnsi="宋体" w:cs="宋体"/>
          <w:sz w:val="24"/>
        </w:rPr>
      </w:pPr>
      <w:r>
        <w:rPr>
          <w:rFonts w:hint="eastAsia" w:ascii="宋体" w:hAnsi="宋体" w:cs="宋体"/>
          <w:sz w:val="24"/>
        </w:rPr>
        <w:t>技术标书说明：</w:t>
      </w:r>
    </w:p>
    <w:p>
      <w:pPr>
        <w:overflowPunct w:val="0"/>
        <w:spacing w:line="420" w:lineRule="exact"/>
        <w:ind w:firstLine="480" w:firstLineChars="200"/>
        <w:jc w:val="left"/>
        <w:rPr>
          <w:rFonts w:ascii="宋体" w:hAnsi="宋体" w:cs="宋体"/>
          <w:sz w:val="24"/>
        </w:rPr>
      </w:pPr>
      <w:r>
        <w:rPr>
          <w:rFonts w:hint="eastAsia" w:ascii="宋体" w:hAnsi="宋体" w:cs="宋体"/>
          <w:sz w:val="24"/>
        </w:rPr>
        <w:t>造价人员须在技术标书中提供上述两个造价人员的资格及注册证书复印件，在复印件上亲笔签名并加盖公章。</w:t>
      </w:r>
    </w:p>
    <w:p>
      <w:pPr>
        <w:overflowPunct w:val="0"/>
        <w:spacing w:line="440" w:lineRule="exact"/>
        <w:ind w:firstLine="482" w:firstLineChars="200"/>
        <w:rPr>
          <w:rFonts w:ascii="宋体" w:hAnsi="宋体" w:cs="宋体"/>
          <w:b/>
          <w:bCs/>
          <w:sz w:val="24"/>
        </w:rPr>
      </w:pPr>
      <w:r>
        <w:rPr>
          <w:rFonts w:hint="eastAsia" w:ascii="宋体" w:hAnsi="宋体" w:cs="宋体"/>
          <w:b/>
          <w:bCs/>
          <w:sz w:val="24"/>
        </w:rPr>
        <w:t>（四）有下列情况之一者为无效标书：</w:t>
      </w:r>
    </w:p>
    <w:p>
      <w:pPr>
        <w:overflowPunct w:val="0"/>
        <w:spacing w:line="440" w:lineRule="exact"/>
        <w:ind w:firstLine="480" w:firstLineChars="200"/>
        <w:rPr>
          <w:rFonts w:ascii="宋体" w:hAnsi="宋体" w:cs="宋体"/>
          <w:sz w:val="24"/>
        </w:rPr>
      </w:pPr>
      <w:bookmarkStart w:id="29" w:name="_Toc514923474"/>
      <w:bookmarkStart w:id="30" w:name="_Toc339544883"/>
      <w:bookmarkStart w:id="31" w:name="_Toc508826854"/>
      <w:bookmarkStart w:id="32" w:name="_Toc61511583"/>
      <w:r>
        <w:rPr>
          <w:rFonts w:hint="eastAsia" w:ascii="宋体" w:hAnsi="宋体" w:cs="宋体"/>
          <w:sz w:val="24"/>
        </w:rPr>
        <w:t>1．投标书逾期送到；投标单位法定代表人或其授权委托人未按时参加开标会议的（均须备好身份证件）。</w:t>
      </w:r>
    </w:p>
    <w:p>
      <w:pPr>
        <w:overflowPunct w:val="0"/>
        <w:spacing w:line="440" w:lineRule="exact"/>
        <w:ind w:firstLine="480" w:firstLineChars="200"/>
        <w:rPr>
          <w:rFonts w:ascii="宋体" w:hAnsi="宋体" w:cs="宋体"/>
          <w:sz w:val="24"/>
        </w:rPr>
      </w:pPr>
      <w:r>
        <w:rPr>
          <w:rFonts w:hint="eastAsia" w:ascii="宋体" w:hAnsi="宋体" w:cs="宋体"/>
          <w:sz w:val="24"/>
        </w:rPr>
        <w:t>2. 投标文件不完整，投标内容不完整，存在重大错漏，未按要求密封、签署、盖章。</w:t>
      </w:r>
    </w:p>
    <w:p>
      <w:pPr>
        <w:overflowPunct w:val="0"/>
        <w:spacing w:line="440" w:lineRule="exact"/>
        <w:ind w:firstLine="480" w:firstLineChars="200"/>
        <w:rPr>
          <w:rFonts w:ascii="宋体" w:hAnsi="宋体" w:cs="宋体"/>
          <w:sz w:val="24"/>
        </w:rPr>
      </w:pPr>
      <w:r>
        <w:rPr>
          <w:rFonts w:hint="eastAsia" w:ascii="宋体" w:hAnsi="宋体" w:cs="宋体"/>
          <w:sz w:val="24"/>
        </w:rPr>
        <w:t>3．投标书封袋未按招标文件规定封装，封口处无加盖投标单位公章。</w:t>
      </w:r>
    </w:p>
    <w:p>
      <w:pPr>
        <w:overflowPunct w:val="0"/>
        <w:spacing w:line="440" w:lineRule="exact"/>
        <w:ind w:firstLine="480" w:firstLineChars="200"/>
        <w:rPr>
          <w:rFonts w:ascii="宋体" w:hAnsi="宋体" w:cs="宋体"/>
          <w:sz w:val="24"/>
        </w:rPr>
      </w:pPr>
      <w:r>
        <w:rPr>
          <w:rFonts w:hint="eastAsia" w:ascii="宋体" w:hAnsi="宋体" w:cs="宋体"/>
          <w:sz w:val="24"/>
        </w:rPr>
        <w:t>4．技术标书内无投标单位法定代表人证明书，若法定代表人委托他人办理但未同时附上法定代表人授权委托证明书。</w:t>
      </w:r>
    </w:p>
    <w:p>
      <w:pPr>
        <w:overflowPunct w:val="0"/>
        <w:spacing w:line="440" w:lineRule="exact"/>
        <w:ind w:firstLine="480" w:firstLineChars="200"/>
        <w:rPr>
          <w:rFonts w:ascii="宋体" w:hAnsi="宋体" w:cs="宋体"/>
          <w:sz w:val="24"/>
        </w:rPr>
      </w:pPr>
      <w:r>
        <w:rPr>
          <w:rFonts w:hint="eastAsia" w:ascii="宋体" w:hAnsi="宋体" w:cs="宋体"/>
          <w:sz w:val="24"/>
        </w:rPr>
        <w:t>5．经济标书的投标价封面及报价页面未按照招标文件规定要求签名和盖章，无投标单位法定代表人或其授权委托人的签名或盖章，无编制人签名和盖资质章。</w:t>
      </w:r>
    </w:p>
    <w:p>
      <w:pPr>
        <w:overflowPunct w:val="0"/>
        <w:spacing w:line="440" w:lineRule="exact"/>
        <w:ind w:firstLine="480" w:firstLineChars="200"/>
        <w:rPr>
          <w:rFonts w:ascii="宋体" w:hAnsi="宋体" w:cs="宋体"/>
          <w:sz w:val="24"/>
        </w:rPr>
      </w:pPr>
      <w:r>
        <w:rPr>
          <w:rFonts w:hint="eastAsia" w:ascii="宋体" w:hAnsi="宋体" w:cs="宋体"/>
          <w:sz w:val="24"/>
        </w:rPr>
        <w:t>6．投标文件的关键性内容书写潦草难以辨清，字迹模糊不清；正、副本标书统一的主要内容（主要内容指合同要求的关于价格、工期、质量标准、数量、违约责任五大责任的强制性要求内容）不一致。</w:t>
      </w:r>
    </w:p>
    <w:p>
      <w:pPr>
        <w:overflowPunct w:val="0"/>
        <w:spacing w:line="440" w:lineRule="exact"/>
        <w:ind w:firstLine="480" w:firstLineChars="200"/>
        <w:rPr>
          <w:rFonts w:ascii="宋体" w:hAnsi="宋体" w:cs="宋体"/>
          <w:sz w:val="24"/>
        </w:rPr>
      </w:pPr>
      <w:r>
        <w:rPr>
          <w:rFonts w:hint="eastAsia" w:ascii="宋体" w:hAnsi="宋体" w:cs="宋体"/>
          <w:sz w:val="24"/>
        </w:rPr>
        <w:t>7．投标文件的关键性内容（关键性内容指招标文件中明确提出的材料规定、工期、质量标准、保修承诺、结算方式、符合本项目特征的施工组织方案和工程技术要点等的文字表述）与招标文件、招标答疑纪要文件等招标要求不符的；对标的工程的关键、主要项目没有响应漏项的；对保证工程按期交付使用的竣工资料和技术资料的移交、保证工程施工全过程造价文件及结算文件及时提交、工程资料归档（移交校档案馆）的保证措施无符合建设要求的实质性响应的。</w:t>
      </w:r>
    </w:p>
    <w:p>
      <w:pPr>
        <w:overflowPunct w:val="0"/>
        <w:spacing w:line="440" w:lineRule="exact"/>
        <w:ind w:firstLine="480" w:firstLineChars="200"/>
        <w:rPr>
          <w:rFonts w:ascii="宋体" w:hAnsi="宋体" w:cs="宋体"/>
          <w:sz w:val="24"/>
        </w:rPr>
      </w:pPr>
      <w:r>
        <w:rPr>
          <w:rFonts w:hint="eastAsia" w:ascii="宋体" w:hAnsi="宋体" w:cs="宋体"/>
          <w:sz w:val="24"/>
        </w:rPr>
        <w:t>8. 投标总金额不是固定价或唯一的，投标总金额超过最高报价值（即投标限价）的。如投标人报价金额低于投标限价最高报价值的80%，未提供说明及相关材料分析表，均可视为低于成本响应，评标小组有权当无效报价处理（详细要求见“招标文件”第二条相关要求）。</w:t>
      </w:r>
    </w:p>
    <w:p>
      <w:pPr>
        <w:overflowPunct w:val="0"/>
        <w:spacing w:line="440" w:lineRule="exact"/>
        <w:ind w:firstLine="480" w:firstLineChars="200"/>
        <w:rPr>
          <w:rFonts w:ascii="宋体" w:hAnsi="宋体" w:cs="宋体"/>
          <w:sz w:val="24"/>
        </w:rPr>
      </w:pPr>
      <w:r>
        <w:rPr>
          <w:rFonts w:hint="eastAsia" w:ascii="宋体" w:hAnsi="宋体" w:cs="宋体"/>
          <w:sz w:val="24"/>
        </w:rPr>
        <w:t>9．经济标书的报价文件未按要求签字和盖资质章；技术标书里未按要求提供编制和复核造价人员的资格及注册证书复印件</w:t>
      </w:r>
      <w:r>
        <w:rPr>
          <w:rFonts w:hint="eastAsia" w:ascii="宋体" w:hAnsi="宋体" w:cs="宋体"/>
          <w:b/>
          <w:bCs/>
          <w:sz w:val="24"/>
        </w:rPr>
        <w:t>（须亲笔签名并加盖公章）</w:t>
      </w:r>
      <w:r>
        <w:rPr>
          <w:rFonts w:hint="eastAsia" w:ascii="宋体" w:hAnsi="宋体" w:cs="宋体"/>
          <w:sz w:val="24"/>
        </w:rPr>
        <w:t>。</w:t>
      </w:r>
    </w:p>
    <w:p>
      <w:pPr>
        <w:overflowPunct w:val="0"/>
        <w:spacing w:line="440" w:lineRule="exact"/>
        <w:ind w:firstLine="480" w:firstLineChars="200"/>
        <w:rPr>
          <w:rFonts w:ascii="宋体" w:hAnsi="宋体" w:cs="宋体"/>
          <w:sz w:val="24"/>
        </w:rPr>
      </w:pPr>
      <w:r>
        <w:rPr>
          <w:rFonts w:hint="eastAsia" w:ascii="宋体" w:hAnsi="宋体" w:cs="宋体"/>
          <w:sz w:val="24"/>
        </w:rPr>
        <w:t>10. 投标有效期为投标截止日起不是60天。</w:t>
      </w:r>
    </w:p>
    <w:p>
      <w:pPr>
        <w:overflowPunct w:val="0"/>
        <w:spacing w:line="440" w:lineRule="exact"/>
        <w:ind w:firstLine="480" w:firstLineChars="200"/>
        <w:rPr>
          <w:rFonts w:ascii="宋体" w:hAnsi="宋体" w:cs="宋体"/>
          <w:sz w:val="24"/>
        </w:rPr>
      </w:pPr>
      <w:r>
        <w:rPr>
          <w:rFonts w:hint="eastAsia" w:ascii="宋体" w:hAnsi="宋体" w:cs="宋体"/>
          <w:sz w:val="24"/>
        </w:rPr>
        <w:t>11. 存在其他未实质性响应文件要求的。</w:t>
      </w:r>
    </w:p>
    <w:p>
      <w:pPr>
        <w:overflowPunct w:val="0"/>
        <w:spacing w:line="440" w:lineRule="exact"/>
        <w:ind w:firstLine="482"/>
        <w:rPr>
          <w:rFonts w:ascii="宋体" w:hAnsi="宋体" w:cs="宋体"/>
          <w:b/>
          <w:bCs/>
          <w:sz w:val="24"/>
        </w:rPr>
      </w:pPr>
      <w:bookmarkStart w:id="33" w:name="_Toc136009908"/>
      <w:r>
        <w:rPr>
          <w:rFonts w:hint="eastAsia" w:ascii="宋体" w:hAnsi="宋体" w:cs="宋体"/>
          <w:b/>
          <w:bCs/>
          <w:sz w:val="24"/>
        </w:rPr>
        <w:t>七、工程价款支付方式</w:t>
      </w:r>
      <w:bookmarkEnd w:id="29"/>
      <w:bookmarkEnd w:id="30"/>
      <w:bookmarkEnd w:id="31"/>
      <w:bookmarkEnd w:id="32"/>
      <w:bookmarkEnd w:id="33"/>
    </w:p>
    <w:p>
      <w:pPr>
        <w:tabs>
          <w:tab w:val="left" w:pos="1365"/>
        </w:tabs>
        <w:overflowPunct w:val="0"/>
        <w:spacing w:line="440" w:lineRule="exact"/>
        <w:ind w:firstLine="480" w:firstLineChars="200"/>
        <w:rPr>
          <w:rFonts w:ascii="宋体" w:hAnsi="宋体" w:cs="宋体"/>
          <w:sz w:val="24"/>
        </w:rPr>
      </w:pPr>
      <w:r>
        <w:rPr>
          <w:rFonts w:hint="eastAsia" w:ascii="宋体" w:hAnsi="宋体" w:cs="宋体"/>
          <w:sz w:val="24"/>
        </w:rPr>
        <w:t>（一）工程价款支付</w:t>
      </w:r>
    </w:p>
    <w:p>
      <w:pPr>
        <w:overflowPunct w:val="0"/>
        <w:spacing w:line="440" w:lineRule="exact"/>
        <w:ind w:firstLine="482" w:firstLineChars="200"/>
        <w:rPr>
          <w:rFonts w:ascii="宋体" w:hAnsi="宋体" w:cs="宋体"/>
          <w:sz w:val="24"/>
        </w:rPr>
      </w:pPr>
      <w:r>
        <w:rPr>
          <w:rFonts w:hint="eastAsia" w:ascii="宋体" w:hAnsi="宋体" w:cs="宋体"/>
          <w:b/>
          <w:sz w:val="24"/>
        </w:rPr>
        <w:t>工程预付款：</w:t>
      </w:r>
      <w:r>
        <w:rPr>
          <w:rFonts w:hint="eastAsia" w:ascii="宋体" w:hAnsi="宋体" w:cs="宋体"/>
          <w:sz w:val="24"/>
        </w:rPr>
        <w:t>甲乙双方签订合同并施工人员进场后，发包人按合同约定拨付工程款合同总价（不含暂列金额和绿色施工安全防护措施费）的30%的工程预付备料款（预付款）；同时按规定支付绿色施工安全防护措施费的50%。</w:t>
      </w:r>
    </w:p>
    <w:p>
      <w:pPr>
        <w:overflowPunct w:val="0"/>
        <w:spacing w:line="440" w:lineRule="exact"/>
        <w:ind w:firstLine="482" w:firstLineChars="200"/>
        <w:rPr>
          <w:rFonts w:ascii="宋体" w:hAnsi="宋体" w:cs="宋体"/>
          <w:sz w:val="24"/>
        </w:rPr>
      </w:pPr>
      <w:r>
        <w:rPr>
          <w:rFonts w:hint="eastAsia" w:ascii="宋体" w:hAnsi="宋体" w:cs="宋体"/>
          <w:b/>
          <w:sz w:val="24"/>
        </w:rPr>
        <w:t>工程进度款：</w:t>
      </w:r>
      <w:r>
        <w:rPr>
          <w:rFonts w:hint="eastAsia" w:ascii="宋体" w:hAnsi="宋体" w:cs="宋体"/>
          <w:sz w:val="24"/>
        </w:rPr>
        <w:t>工程进度至50%时，承包人提交发包人审批确认的请款报告和实际完成的工程进度报表，累计支付至拨付工程款合同价（不含暂列金额和绿色施工安全防护措施费）的60%（包含30％工程预付款）。</w:t>
      </w:r>
    </w:p>
    <w:p>
      <w:pPr>
        <w:overflowPunct w:val="0"/>
        <w:spacing w:line="440" w:lineRule="exact"/>
        <w:ind w:firstLine="482" w:firstLineChars="200"/>
        <w:rPr>
          <w:rFonts w:ascii="宋体" w:hAnsi="宋体" w:cs="宋体"/>
          <w:sz w:val="24"/>
        </w:rPr>
      </w:pPr>
      <w:r>
        <w:rPr>
          <w:rFonts w:hint="eastAsia" w:ascii="宋体" w:hAnsi="宋体" w:cs="宋体"/>
          <w:b/>
          <w:sz w:val="24"/>
        </w:rPr>
        <w:t>工程竣工款：</w:t>
      </w:r>
      <w:r>
        <w:rPr>
          <w:rFonts w:hint="eastAsia" w:ascii="宋体" w:hAnsi="宋体" w:cs="宋体"/>
          <w:color w:val="auto"/>
          <w:sz w:val="24"/>
          <w:highlight w:val="none"/>
        </w:rPr>
        <w:t>工程通过竣工验收，承包人提交完整的竣工资料（包括签证变更资料）一式三份后给发包人审核确认后，累计支付至工程款合同价（不含暂列金额、绿色施工安全防护措施费）的</w:t>
      </w:r>
      <w:r>
        <w:rPr>
          <w:rFonts w:hint="eastAsia" w:ascii="宋体" w:hAnsi="宋体" w:cs="宋体"/>
          <w:color w:val="auto"/>
          <w:sz w:val="24"/>
          <w:highlight w:val="none"/>
          <w:lang w:val="en-US" w:eastAsia="zh-CN"/>
        </w:rPr>
        <w:t>75</w:t>
      </w:r>
      <w:r>
        <w:rPr>
          <w:rFonts w:hint="eastAsia" w:ascii="宋体" w:hAnsi="宋体" w:cs="宋体"/>
          <w:color w:val="auto"/>
          <w:sz w:val="24"/>
          <w:highlight w:val="none"/>
        </w:rPr>
        <w:t>%；同时按规定支付绿色施工安全防护措施费的50%。</w:t>
      </w:r>
    </w:p>
    <w:p>
      <w:pPr>
        <w:overflowPunct w:val="0"/>
        <w:spacing w:line="440" w:lineRule="exact"/>
        <w:ind w:firstLine="482" w:firstLineChars="200"/>
        <w:rPr>
          <w:rFonts w:ascii="宋体" w:hAnsi="宋体" w:cs="宋体"/>
          <w:sz w:val="24"/>
        </w:rPr>
      </w:pPr>
      <w:r>
        <w:rPr>
          <w:rFonts w:hint="eastAsia" w:ascii="宋体" w:hAnsi="宋体" w:cs="宋体"/>
          <w:b/>
          <w:sz w:val="24"/>
        </w:rPr>
        <w:t>工程结算款：</w:t>
      </w:r>
      <w:r>
        <w:rPr>
          <w:rFonts w:hint="eastAsia" w:ascii="宋体" w:hAnsi="宋体" w:cs="宋体"/>
          <w:sz w:val="24"/>
        </w:rPr>
        <w:t>工程竣工及结算资料经终审审定工程结算价，并协助整理工程档案资料移交发包人校档案馆后，累计支付至工程结算总价的97%；结算余款3%作为本工程的保修金。</w:t>
      </w:r>
    </w:p>
    <w:p>
      <w:pPr>
        <w:tabs>
          <w:tab w:val="left" w:pos="1365"/>
        </w:tabs>
        <w:overflowPunct w:val="0"/>
        <w:spacing w:line="440" w:lineRule="exact"/>
        <w:ind w:firstLine="480" w:firstLineChars="200"/>
        <w:rPr>
          <w:rFonts w:ascii="宋体" w:hAnsi="宋体" w:cs="宋体"/>
          <w:sz w:val="24"/>
        </w:rPr>
      </w:pPr>
      <w:r>
        <w:rPr>
          <w:rFonts w:hint="eastAsia" w:ascii="宋体" w:hAnsi="宋体" w:cs="宋体"/>
          <w:sz w:val="24"/>
        </w:rPr>
        <w:t>（二）质量保证金支付</w:t>
      </w:r>
    </w:p>
    <w:p>
      <w:pPr>
        <w:overflowPunct w:val="0"/>
        <w:spacing w:line="440" w:lineRule="exact"/>
        <w:ind w:firstLine="480" w:firstLineChars="200"/>
        <w:rPr>
          <w:rFonts w:ascii="宋体" w:hAnsi="宋体" w:cs="宋体"/>
          <w:sz w:val="24"/>
        </w:rPr>
      </w:pPr>
      <w:r>
        <w:rPr>
          <w:rFonts w:hint="eastAsia" w:ascii="宋体" w:hAnsi="宋体" w:cs="宋体"/>
          <w:sz w:val="24"/>
        </w:rPr>
        <w:t>保修期限按《建设工程质量管理条例》的有关规定，保修期满，完成保修责任并提交质量回访记录表，无质量问题后14天内无息一次性支付该项目的质量保证金。</w:t>
      </w:r>
    </w:p>
    <w:p>
      <w:pPr>
        <w:overflowPunct w:val="0"/>
        <w:spacing w:line="440" w:lineRule="exact"/>
        <w:ind w:firstLine="482"/>
        <w:rPr>
          <w:rFonts w:ascii="宋体" w:hAnsi="宋体" w:cs="宋体"/>
          <w:b/>
          <w:bCs/>
          <w:sz w:val="24"/>
        </w:rPr>
      </w:pPr>
      <w:r>
        <w:rPr>
          <w:rFonts w:hint="eastAsia" w:ascii="宋体" w:hAnsi="宋体" w:cs="宋体"/>
          <w:b/>
          <w:bCs/>
          <w:sz w:val="24"/>
        </w:rPr>
        <w:t>八、工程价款调整及结算方式</w:t>
      </w:r>
    </w:p>
    <w:p>
      <w:pPr>
        <w:numPr>
          <w:ilvl w:val="255"/>
          <w:numId w:val="0"/>
        </w:numPr>
        <w:overflowPunct w:val="0"/>
        <w:spacing w:line="440" w:lineRule="exact"/>
        <w:ind w:firstLine="480" w:firstLineChars="200"/>
        <w:rPr>
          <w:rFonts w:ascii="宋体" w:hAnsi="宋体" w:cs="宋体"/>
          <w:sz w:val="24"/>
        </w:rPr>
      </w:pPr>
      <w:r>
        <w:rPr>
          <w:rFonts w:hint="eastAsia" w:ascii="宋体" w:hAnsi="宋体" w:cs="宋体"/>
          <w:sz w:val="24"/>
        </w:rPr>
        <w:t>（一）工程价款结算原则</w:t>
      </w:r>
    </w:p>
    <w:p>
      <w:pPr>
        <w:overflowPunct w:val="0"/>
        <w:spacing w:line="440" w:lineRule="exact"/>
        <w:ind w:firstLine="480" w:firstLineChars="200"/>
        <w:rPr>
          <w:rFonts w:ascii="宋体" w:hAnsi="宋体" w:cs="宋体"/>
          <w:sz w:val="24"/>
        </w:rPr>
      </w:pPr>
      <w:r>
        <w:rPr>
          <w:rFonts w:hint="eastAsia" w:ascii="宋体" w:hAnsi="宋体" w:cs="宋体"/>
          <w:sz w:val="24"/>
        </w:rPr>
        <w:t>1.综合单价包干项目：本工程采用综合单价包干的方式，招标文件要求和投标文件中工程量清单的项目内容，按本招标文件的编制依据及原则的要求包干。该单价是指完成规定计量单位项目所需人工、材料、机械、管理费、利润、并考虑本单位所能承担的风险因素等的综合总费用。工程结算时，施工合同内工程量清单项目，中标综合单价为结算单价，原则上不作调整，项目工程量按实计算。如果中标综合单价高于招标文件编制依据及原则10%以上时，发包人有权按招标文件编制依据及原则修正结算综合单价。</w:t>
      </w:r>
    </w:p>
    <w:p>
      <w:pPr>
        <w:tabs>
          <w:tab w:val="left" w:pos="1365"/>
        </w:tabs>
        <w:overflowPunct w:val="0"/>
        <w:spacing w:line="440" w:lineRule="exact"/>
        <w:ind w:firstLine="480" w:firstLineChars="200"/>
        <w:rPr>
          <w:rFonts w:ascii="宋体" w:hAnsi="宋体" w:cs="宋体"/>
          <w:sz w:val="24"/>
        </w:rPr>
      </w:pPr>
      <w:r>
        <w:rPr>
          <w:rFonts w:hint="eastAsia" w:ascii="宋体" w:hAnsi="宋体" w:cs="宋体"/>
          <w:sz w:val="24"/>
        </w:rPr>
        <w:t>2.措施项目费：在整个合同执行期间无论图纸变更或工程量清单增减或材料价格变化等情况，措施项目费（包括绿色施工安全防护和其他措施费）按中标报价总价包干结算。</w:t>
      </w:r>
    </w:p>
    <w:p>
      <w:pPr>
        <w:tabs>
          <w:tab w:val="left" w:pos="1365"/>
        </w:tabs>
        <w:overflowPunct w:val="0"/>
        <w:spacing w:line="440" w:lineRule="exact"/>
        <w:ind w:firstLine="480" w:firstLineChars="200"/>
        <w:rPr>
          <w:rFonts w:ascii="宋体" w:hAnsi="宋体" w:cs="宋体"/>
          <w:sz w:val="24"/>
        </w:rPr>
      </w:pPr>
      <w:r>
        <w:rPr>
          <w:rFonts w:hint="eastAsia" w:ascii="宋体" w:hAnsi="宋体" w:cs="宋体"/>
          <w:sz w:val="24"/>
        </w:rPr>
        <w:t>3. 投标人提交余泥及废弃物外运消纳费的正规发票等相关证明材料，经审核无误后按实结算。</w:t>
      </w:r>
      <w:r>
        <w:rPr>
          <w:rFonts w:ascii="宋体" w:hAnsi="宋体" w:cs="宋体"/>
          <w:sz w:val="24"/>
        </w:rPr>
        <w:t xml:space="preserve"> </w:t>
      </w:r>
    </w:p>
    <w:p>
      <w:pPr>
        <w:tabs>
          <w:tab w:val="left" w:pos="1365"/>
        </w:tabs>
        <w:overflowPunct w:val="0"/>
        <w:spacing w:line="440" w:lineRule="exact"/>
        <w:ind w:firstLine="480" w:firstLineChars="200"/>
        <w:rPr>
          <w:rFonts w:ascii="宋体" w:hAnsi="宋体" w:cs="宋体"/>
          <w:sz w:val="24"/>
        </w:rPr>
      </w:pPr>
      <w:r>
        <w:rPr>
          <w:rFonts w:hint="eastAsia" w:ascii="宋体" w:hAnsi="宋体" w:cs="宋体"/>
          <w:sz w:val="24"/>
        </w:rPr>
        <w:t>（二）工程价款调整</w:t>
      </w:r>
    </w:p>
    <w:p>
      <w:pPr>
        <w:overflowPunct w:val="0"/>
        <w:spacing w:line="440" w:lineRule="exact"/>
        <w:ind w:firstLine="480" w:firstLineChars="200"/>
        <w:rPr>
          <w:rFonts w:ascii="宋体" w:hAnsi="宋体" w:cs="宋体"/>
          <w:sz w:val="24"/>
        </w:rPr>
      </w:pPr>
      <w:r>
        <w:rPr>
          <w:rFonts w:hint="eastAsia" w:ascii="宋体" w:hAnsi="宋体" w:cs="宋体"/>
          <w:sz w:val="24"/>
        </w:rPr>
        <w:t>1.工程价款调整原则</w:t>
      </w:r>
    </w:p>
    <w:p>
      <w:pPr>
        <w:overflowPunct w:val="0"/>
        <w:topLinePunct/>
        <w:spacing w:line="420" w:lineRule="exact"/>
        <w:ind w:firstLine="480" w:firstLineChars="200"/>
        <w:jc w:val="left"/>
        <w:rPr>
          <w:rFonts w:ascii="宋体" w:hAnsi="宋体" w:cs="仿宋_GB2312"/>
          <w:sz w:val="24"/>
        </w:rPr>
      </w:pPr>
      <w:r>
        <w:rPr>
          <w:rFonts w:hint="eastAsia" w:ascii="宋体" w:hAnsi="宋体" w:cs="仿宋_GB2312"/>
          <w:sz w:val="24"/>
        </w:rPr>
        <w:t>（1）中标报价中有与变更工程相同项目的单价，按相同项目单价。</w:t>
      </w:r>
    </w:p>
    <w:p>
      <w:pPr>
        <w:overflowPunct w:val="0"/>
        <w:topLinePunct/>
        <w:spacing w:line="420" w:lineRule="exact"/>
        <w:ind w:firstLine="480" w:firstLineChars="200"/>
        <w:jc w:val="left"/>
        <w:rPr>
          <w:rFonts w:ascii="宋体" w:hAnsi="宋体" w:cs="仿宋_GB2312"/>
          <w:sz w:val="24"/>
        </w:rPr>
      </w:pPr>
      <w:r>
        <w:rPr>
          <w:rFonts w:hint="eastAsia" w:ascii="宋体" w:hAnsi="宋体" w:cs="仿宋_GB2312"/>
          <w:sz w:val="24"/>
        </w:rPr>
        <w:t>（2）中标的投标文件工程量清单中已有类似项目的综合单价，则按类似项目的综合单价。</w:t>
      </w:r>
    </w:p>
    <w:p>
      <w:pPr>
        <w:overflowPunct w:val="0"/>
        <w:topLinePunct/>
        <w:spacing w:line="420" w:lineRule="exact"/>
        <w:ind w:firstLine="480" w:firstLineChars="200"/>
        <w:jc w:val="left"/>
        <w:rPr>
          <w:rFonts w:ascii="宋体" w:hAnsi="宋体" w:cs="仿宋_GB2312"/>
          <w:sz w:val="24"/>
        </w:rPr>
      </w:pPr>
      <w:r>
        <w:rPr>
          <w:rFonts w:hint="eastAsia" w:ascii="宋体" w:hAnsi="宋体" w:cs="仿宋_GB2312"/>
          <w:sz w:val="24"/>
        </w:rPr>
        <w:t>（3）中标的投标文件工程量清单中相同或类似项目的综合单价有两个以上，则由招标人选择相同或类似项目中价格最低的综合单价。</w:t>
      </w:r>
    </w:p>
    <w:p>
      <w:pPr>
        <w:overflowPunct w:val="0"/>
        <w:topLinePunct/>
        <w:spacing w:line="420" w:lineRule="exact"/>
        <w:ind w:firstLine="480" w:firstLineChars="200"/>
        <w:jc w:val="left"/>
        <w:rPr>
          <w:rFonts w:ascii="宋体" w:hAnsi="宋体" w:cs="仿宋_GB2312"/>
          <w:sz w:val="24"/>
        </w:rPr>
      </w:pPr>
      <w:r>
        <w:rPr>
          <w:rFonts w:hint="eastAsia" w:ascii="宋体" w:hAnsi="宋体" w:cs="仿宋_GB2312"/>
          <w:sz w:val="24"/>
        </w:rPr>
        <w:t>（</w:t>
      </w:r>
      <w:r>
        <w:rPr>
          <w:rFonts w:ascii="宋体" w:hAnsi="宋体" w:cs="仿宋_GB2312"/>
          <w:sz w:val="24"/>
        </w:rPr>
        <w:t>4</w:t>
      </w:r>
      <w:r>
        <w:rPr>
          <w:rFonts w:hint="eastAsia" w:ascii="宋体" w:hAnsi="宋体" w:cs="仿宋_GB2312"/>
          <w:sz w:val="24"/>
        </w:rPr>
        <w:t>）中标报价中没有相同项目或类似项目的，可根据相关定额及投标下浮率，编制新的综合单价（详见工程价款调整具体办法），经发包人书面批复后作为变更的依据。</w:t>
      </w:r>
    </w:p>
    <w:p>
      <w:pPr>
        <w:overflowPunct w:val="0"/>
        <w:spacing w:line="440" w:lineRule="exact"/>
        <w:ind w:firstLine="480" w:firstLineChars="200"/>
        <w:rPr>
          <w:rFonts w:ascii="宋体" w:hAnsi="宋体" w:cs="宋体"/>
          <w:sz w:val="24"/>
        </w:rPr>
      </w:pPr>
      <w:r>
        <w:rPr>
          <w:rFonts w:hint="eastAsia" w:ascii="宋体" w:hAnsi="宋体" w:cs="宋体"/>
          <w:sz w:val="24"/>
        </w:rPr>
        <w:t>2.变更估价具体办法</w:t>
      </w:r>
    </w:p>
    <w:p>
      <w:pPr>
        <w:overflowPunct w:val="0"/>
        <w:spacing w:line="440" w:lineRule="exact"/>
        <w:ind w:firstLine="480" w:firstLineChars="200"/>
        <w:rPr>
          <w:rFonts w:ascii="宋体" w:hAnsi="宋体" w:cs="宋体"/>
          <w:sz w:val="24"/>
        </w:rPr>
      </w:pPr>
      <w:r>
        <w:rPr>
          <w:rFonts w:hint="eastAsia" w:ascii="宋体" w:hAnsi="宋体" w:cs="宋体"/>
          <w:sz w:val="24"/>
        </w:rPr>
        <w:t>工程实施过程中发生超出施工图纸、投标文件和工程量清单等施工合同范围和内容以外的情况，而导致变更工程项目时（所有的增减工程，须以发包人确认的变更通知书为准），按下列计价方式处理：</w:t>
      </w:r>
    </w:p>
    <w:p>
      <w:pPr>
        <w:overflowPunct w:val="0"/>
        <w:spacing w:line="440" w:lineRule="exact"/>
        <w:ind w:firstLine="480" w:firstLineChars="200"/>
        <w:rPr>
          <w:rFonts w:ascii="宋体" w:hAnsi="宋体" w:cs="宋体"/>
          <w:sz w:val="24"/>
        </w:rPr>
      </w:pPr>
      <w:r>
        <w:rPr>
          <w:rFonts w:hint="eastAsia" w:ascii="宋体" w:hAnsi="宋体" w:cs="宋体"/>
          <w:sz w:val="24"/>
        </w:rPr>
        <w:t>（1）仅改变中标报价中工程量清单子目工程量时，只调整相应子目工程量，单价沿用中标报价的综合单价。包括深化图纸设计只改变了做法、收口工艺、形状等，未改变主材材质、厚度等规格的，仍按中标报价相应项目的综合单价计算。</w:t>
      </w:r>
    </w:p>
    <w:p>
      <w:pPr>
        <w:overflowPunct w:val="0"/>
        <w:spacing w:line="440" w:lineRule="exact"/>
        <w:ind w:firstLine="480" w:firstLineChars="200"/>
        <w:rPr>
          <w:rFonts w:ascii="宋体" w:hAnsi="宋体" w:cs="宋体"/>
          <w:sz w:val="24"/>
        </w:rPr>
      </w:pPr>
      <w:r>
        <w:rPr>
          <w:rFonts w:hint="eastAsia" w:ascii="宋体" w:hAnsi="宋体" w:cs="宋体"/>
          <w:sz w:val="24"/>
        </w:rPr>
        <w:t>（2）工程主材改变时（或发包人另外选择主材时），若超出原主材价±10%时，进行主材价调整，只调整相应工程的主材单价（按价差，计入其他工程费结算），工程量按实计算。</w:t>
      </w:r>
    </w:p>
    <w:p>
      <w:pPr>
        <w:overflowPunct w:val="0"/>
        <w:topLinePunct/>
        <w:spacing w:line="420" w:lineRule="exact"/>
        <w:ind w:firstLine="480" w:firstLineChars="200"/>
        <w:jc w:val="left"/>
        <w:rPr>
          <w:rFonts w:ascii="宋体" w:hAnsi="宋体" w:cs="仿宋_GB2312"/>
          <w:sz w:val="24"/>
        </w:rPr>
      </w:pPr>
      <w:r>
        <w:rPr>
          <w:rFonts w:hint="eastAsia" w:ascii="宋体" w:hAnsi="宋体" w:cs="宋体"/>
          <w:sz w:val="24"/>
        </w:rPr>
        <w:t>（3）</w:t>
      </w:r>
      <w:r>
        <w:rPr>
          <w:rFonts w:hint="eastAsia" w:ascii="宋体" w:hAnsi="宋体" w:cs="仿宋_GB2312"/>
          <w:sz w:val="24"/>
        </w:rPr>
        <w:t>中标报价工程量清单以外变更增加的项目，如果中标报价中没有相同项目或类似项目的综合单价，则按《建设工程工程量清单计价规范》（GB50500--2013），《广东省建设工程计价依据（2018年）》《广东省房屋建筑与装饰工程综合定额（2018）》《广东省市政工程综合定额（2018）》《广东省通用安装工程综合定额（2018）》《广东省园林绿化工程综合定额（2018）》《广东省建设工程施工机具台班费用编制规则（2018）》等工程量清单规范和计价办法，《广东省住房和城乡建设厅关于调整广东省建设工程计价依据增值税税率的通知》（粤建标函〔2019〕819号）（税金按增值税9%，其他人工、材料、机械按增值税方式计），采用清单计价方式计算综合单价（取费标准若有上限下限的，按均值取费），措施项目费和预算包干费不计，只计取税金，即新增综合单价=根据清单计价办法计算综合单价×（1－投标下浮率），投标下浮率=（1－不含绿色施工安全防护措施费和暂列金额两项税后价的中标价/不含绿色施工安全防护措施费和暂列金额两项税后价的招标控制价）×100%。材料价格计算原则为：中标报价工程量清单或主要材料报价表中已有适用的材料价格，按已有的价格执行；工程量清单或主要材料报价表中有类似的材料价格，可以参照类似价格；若工程量清单或主要材料报价表中没有适用或没有类似的材料价格，按施工期间同期的《广州地区建设工程常用材料税前综合价格》中相应综合价格；若综合价格没有的，参考施工期间同期的《广州地区建设工程材料（设备）厂商价格信息》中相应价格下浮10%执行；如果施工期间同期的《广州地区建设工程常用材料税前综合价格》和《广州地区建设工程材料（设备）厂商价格信息》没有的相应品牌、规格的材料单价，则由承包人向发包人提交材料报价（提供材料厂家、产品规格、检验证书等相关信息），经发包人确认后作为结算价。</w:t>
      </w:r>
    </w:p>
    <w:p>
      <w:pPr>
        <w:overflowPunct w:val="0"/>
        <w:spacing w:line="44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.对于投标报价中漏项的处理：</w:t>
      </w:r>
    </w:p>
    <w:p>
      <w:pPr>
        <w:overflowPunct w:val="0"/>
        <w:spacing w:line="440" w:lineRule="exact"/>
        <w:ind w:firstLine="480" w:firstLineChars="200"/>
        <w:rPr>
          <w:rFonts w:ascii="宋体" w:hAnsi="宋体" w:cs="宋体"/>
          <w:sz w:val="24"/>
        </w:rPr>
      </w:pPr>
      <w:r>
        <w:rPr>
          <w:rFonts w:hint="eastAsia" w:ascii="宋体" w:hAnsi="宋体" w:cs="宋体"/>
          <w:sz w:val="24"/>
        </w:rPr>
        <w:t>（1）招标工程量清单中的单项项目特征描述中，如有未明确具体做法的描述，承包人则应参照相关的规范、规定及图集大样或工程通用做法施工，不属于漏项，且对应的单项造价按规范、规定、图集、通用做法导致造价增减变化的，综合单价按原投标报价结算不再调整，承包人已在投标前充分研究、分析，综合考虑相应的风险。</w:t>
      </w:r>
    </w:p>
    <w:p>
      <w:pPr>
        <w:overflowPunct w:val="0"/>
        <w:spacing w:line="440" w:lineRule="exact"/>
        <w:ind w:firstLine="480" w:firstLineChars="200"/>
        <w:rPr>
          <w:rFonts w:ascii="宋体" w:hAnsi="宋体" w:cs="宋体"/>
          <w:sz w:val="24"/>
        </w:rPr>
      </w:pPr>
      <w:r>
        <w:rPr>
          <w:rFonts w:hint="eastAsia" w:ascii="宋体" w:hAnsi="宋体" w:cs="宋体"/>
          <w:sz w:val="24"/>
        </w:rPr>
        <w:t>（2）图纸有但招标工程量清单子目没有的，且在工程施工中会影响到整体使用的或在满足功能上必须要做的，由承包人提出书面报告及报价资料，经发包人核实招标工程量清单及招标图纸后，按项目变更处理。承包人应向发包人提交变更报价，发包人批价后实施。</w:t>
      </w:r>
    </w:p>
    <w:p>
      <w:pPr>
        <w:overflowPunct w:val="0"/>
        <w:spacing w:line="44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.发包人要求取消的项目或实际未施工的项目，扣减该项目造价。</w:t>
      </w:r>
    </w:p>
    <w:p>
      <w:pPr>
        <w:overflowPunct w:val="0"/>
        <w:spacing w:line="44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.未经发包人许可，承包人不得擅自对工程的任何部分进行变更；未经发包人许可和审批的变更，产生的费用由承包人自行承担。</w:t>
      </w:r>
    </w:p>
    <w:p>
      <w:pPr>
        <w:overflowPunct w:val="0"/>
        <w:spacing w:line="440" w:lineRule="exact"/>
        <w:ind w:firstLine="480" w:firstLineChars="200"/>
        <w:rPr>
          <w:rFonts w:ascii="宋体" w:hAnsi="宋体" w:cs="宋体"/>
          <w:sz w:val="24"/>
        </w:rPr>
      </w:pPr>
      <w:r>
        <w:rPr>
          <w:rFonts w:hint="eastAsia" w:ascii="宋体" w:hAnsi="宋体" w:cs="宋体"/>
          <w:sz w:val="24"/>
        </w:rPr>
        <w:t>6</w:t>
      </w:r>
      <w:r>
        <w:rPr>
          <w:rFonts w:ascii="宋体" w:hAnsi="宋体" w:cs="宋体"/>
          <w:sz w:val="24"/>
        </w:rPr>
        <w:t>.</w:t>
      </w:r>
      <w:r>
        <w:rPr>
          <w:rFonts w:hint="eastAsia" w:ascii="宋体" w:hAnsi="宋体" w:cs="仿宋_GB2312"/>
          <w:sz w:val="24"/>
        </w:rPr>
        <w:t xml:space="preserve"> 变更、工程签证或合同内工程量清单少计、漏计等原因造成工程量与报价工程量清单或预算书中列明的该项目工程量变化幅度超过15%的，按照合理的成本与利润构成的原则，变更、工程签证和合同内工程量清单少计、漏计变化幅度超过15%以上工程量的单价按照发包人招标控制价的单价计算，若招标控制价的单价高于中标报价的单价，则按照中标报价的单价计算。</w:t>
      </w:r>
    </w:p>
    <w:p>
      <w:pPr>
        <w:overflowPunct w:val="0"/>
        <w:spacing w:line="440" w:lineRule="exact"/>
        <w:ind w:firstLine="480" w:firstLineChars="200"/>
        <w:rPr>
          <w:rFonts w:ascii="宋体" w:hAnsi="宋体" w:cs="宋体"/>
          <w:sz w:val="24"/>
        </w:rPr>
      </w:pPr>
      <w:r>
        <w:rPr>
          <w:rFonts w:ascii="宋体" w:hAnsi="宋体" w:cs="宋体"/>
          <w:sz w:val="24"/>
        </w:rPr>
        <w:t>7</w:t>
      </w:r>
      <w:r>
        <w:rPr>
          <w:rFonts w:hint="eastAsia" w:ascii="宋体" w:hAnsi="宋体" w:cs="宋体"/>
          <w:sz w:val="24"/>
        </w:rPr>
        <w:t>.工程签证项目参照上述约定执行。</w:t>
      </w:r>
    </w:p>
    <w:p>
      <w:pPr>
        <w:overflowPunct w:val="0"/>
        <w:spacing w:line="440" w:lineRule="exact"/>
        <w:ind w:firstLine="480" w:firstLineChars="200"/>
        <w:rPr>
          <w:rFonts w:ascii="宋体" w:hAnsi="宋体" w:cs="宋体"/>
          <w:sz w:val="24"/>
        </w:rPr>
      </w:pPr>
      <w:r>
        <w:rPr>
          <w:rFonts w:hint="eastAsia" w:ascii="宋体" w:hAnsi="宋体" w:cs="宋体"/>
          <w:sz w:val="24"/>
        </w:rPr>
        <w:t>（三）承包人须如实报送竣工结算，承包人承诺：承包人提交的工程竣工结算价经监理单位、第三方咨询公司等单位审核后的总造价作为送审金额，该送审金额与发包人终审价的误差必须控制在5％内，如超出，除按核减金额的10％作为违约金直接从工程结算款中予以扣减外，委托送审所需的费用（造价咨询结算审核服务费）由承包人承担，该费用由发包人在工程结算款中扣除，承包人没有异议。</w:t>
      </w:r>
    </w:p>
    <w:p>
      <w:pPr>
        <w:overflowPunct w:val="0"/>
        <w:spacing w:line="440" w:lineRule="exact"/>
        <w:ind w:firstLine="480" w:firstLineChars="200"/>
        <w:rPr>
          <w:rFonts w:ascii="宋体" w:hAnsi="宋体" w:cs="宋体"/>
          <w:b/>
          <w:bCs/>
          <w:sz w:val="24"/>
        </w:rPr>
      </w:pPr>
      <w:r>
        <w:rPr>
          <w:rFonts w:hint="eastAsia" w:ascii="宋体" w:hAnsi="宋体" w:cs="宋体"/>
          <w:sz w:val="24"/>
        </w:rPr>
        <w:t>（四）</w:t>
      </w:r>
      <w:r>
        <w:rPr>
          <w:rFonts w:hint="eastAsia" w:ascii="宋体" w:hAnsi="宋体" w:cs="宋体"/>
          <w:bCs/>
          <w:sz w:val="24"/>
        </w:rPr>
        <w:t>结算送审时间及要求</w:t>
      </w:r>
    </w:p>
    <w:p>
      <w:pPr>
        <w:overflowPunct w:val="0"/>
        <w:spacing w:line="440" w:lineRule="exact"/>
        <w:ind w:firstLine="480" w:firstLineChars="200"/>
        <w:rPr>
          <w:rFonts w:ascii="宋体" w:hAnsi="宋体" w:cs="宋体"/>
          <w:sz w:val="24"/>
        </w:rPr>
      </w:pPr>
      <w:r>
        <w:rPr>
          <w:rFonts w:hint="eastAsia" w:ascii="宋体" w:hAnsi="宋体" w:cs="宋体"/>
          <w:sz w:val="24"/>
        </w:rPr>
        <w:t>承包人必须在通过竣工验收合格后（以通过竣工验收的时间为开始时间）60天内办理结算，否则招标人有权委托有资质的第三方造价咨询单位，直接进入结算，委托第三方编制、审核办理结算等事项所产生的费用全部由投标人负责承担，费用直接在工程结算款中直接扣除。</w:t>
      </w:r>
    </w:p>
    <w:p>
      <w:pPr>
        <w:overflowPunct w:val="0"/>
        <w:spacing w:line="440" w:lineRule="exact"/>
        <w:ind w:firstLine="482"/>
        <w:rPr>
          <w:rFonts w:ascii="宋体" w:hAnsi="宋体" w:cs="宋体"/>
          <w:b/>
          <w:bCs/>
          <w:sz w:val="24"/>
        </w:rPr>
      </w:pPr>
      <w:bookmarkStart w:id="34" w:name="_Toc136009909"/>
      <w:bookmarkStart w:id="35" w:name="_Toc61511584"/>
      <w:r>
        <w:rPr>
          <w:rFonts w:hint="eastAsia" w:ascii="宋体" w:hAnsi="宋体" w:cs="宋体"/>
          <w:b/>
          <w:bCs/>
          <w:sz w:val="24"/>
        </w:rPr>
        <w:t>九、履约保证金</w:t>
      </w:r>
      <w:bookmarkEnd w:id="14"/>
      <w:bookmarkEnd w:id="34"/>
      <w:bookmarkEnd w:id="35"/>
    </w:p>
    <w:p>
      <w:pPr>
        <w:overflowPunct w:val="0"/>
        <w:spacing w:line="440" w:lineRule="exact"/>
        <w:ind w:firstLine="350" w:firstLineChars="146"/>
        <w:rPr>
          <w:rFonts w:ascii="宋体" w:hAnsi="宋体" w:cs="宋体"/>
          <w:b/>
          <w:sz w:val="24"/>
        </w:rPr>
      </w:pPr>
      <w:bookmarkStart w:id="36" w:name="_Toc339544885"/>
      <w:r>
        <w:rPr>
          <w:rFonts w:hint="eastAsia" w:ascii="宋体" w:hAnsi="宋体" w:cs="宋体"/>
          <w:sz w:val="24"/>
        </w:rPr>
        <w:t>本项目履约保证金为中标合同金额的5%；履约保证金在待提交结算资料经审核后无息退还承包人。</w:t>
      </w:r>
    </w:p>
    <w:p>
      <w:pPr>
        <w:overflowPunct w:val="0"/>
        <w:spacing w:line="440" w:lineRule="exact"/>
        <w:ind w:firstLine="482"/>
        <w:rPr>
          <w:rFonts w:ascii="宋体" w:hAnsi="宋体" w:cs="宋体"/>
          <w:b/>
          <w:bCs/>
          <w:sz w:val="24"/>
        </w:rPr>
      </w:pPr>
      <w:bookmarkStart w:id="37" w:name="_Toc136009910"/>
      <w:bookmarkStart w:id="38" w:name="_Toc61511585"/>
      <w:r>
        <w:rPr>
          <w:rFonts w:hint="eastAsia" w:ascii="宋体" w:hAnsi="宋体" w:cs="宋体"/>
          <w:b/>
          <w:bCs/>
          <w:sz w:val="24"/>
        </w:rPr>
        <w:t>十、合同的签订</w:t>
      </w:r>
      <w:bookmarkEnd w:id="36"/>
      <w:bookmarkEnd w:id="37"/>
      <w:bookmarkEnd w:id="38"/>
    </w:p>
    <w:p>
      <w:pPr>
        <w:overflowPunct w:val="0"/>
        <w:spacing w:line="440" w:lineRule="exact"/>
        <w:ind w:firstLine="480" w:firstLineChars="200"/>
        <w:rPr>
          <w:rFonts w:ascii="宋体" w:hAnsi="宋体" w:cs="宋体"/>
          <w:sz w:val="24"/>
        </w:rPr>
      </w:pPr>
      <w:bookmarkStart w:id="39" w:name="_Toc339544886"/>
      <w:r>
        <w:rPr>
          <w:rFonts w:hint="eastAsia" w:ascii="宋体" w:hAnsi="宋体" w:cs="宋体"/>
          <w:sz w:val="24"/>
        </w:rPr>
        <w:t>（一）招标结果公示结束次日，《中标通知书》由招标人签发；</w:t>
      </w:r>
    </w:p>
    <w:p>
      <w:pPr>
        <w:overflowPunct w:val="0"/>
        <w:spacing w:line="440" w:lineRule="exact"/>
        <w:ind w:firstLine="480" w:firstLineChars="200"/>
        <w:rPr>
          <w:rFonts w:ascii="宋体" w:hAnsi="宋体" w:cs="宋体"/>
          <w:sz w:val="24"/>
        </w:rPr>
      </w:pPr>
      <w:r>
        <w:rPr>
          <w:rFonts w:hint="eastAsia" w:ascii="宋体" w:hAnsi="宋体" w:cs="宋体"/>
          <w:sz w:val="24"/>
        </w:rPr>
        <w:t>（二）中标人应在接到中标通知书7天内，按照中标价、招标文件和投标文件内容，与招标人签订合同，同时准备材料、人力等进场事宜。招标人无正当理由，不得拒绝与中标人签订合同，但招标人提供证据证明中标人有下列行为之一的，该中标无效，招标人可以不与中标人签订合同：</w:t>
      </w:r>
    </w:p>
    <w:p>
      <w:pPr>
        <w:overflowPunct w:val="0"/>
        <w:spacing w:line="440" w:lineRule="exact"/>
        <w:ind w:firstLine="480" w:firstLineChars="200"/>
        <w:rPr>
          <w:rFonts w:ascii="宋体" w:hAnsi="宋体" w:cs="宋体"/>
          <w:sz w:val="24"/>
        </w:rPr>
      </w:pPr>
      <w:r>
        <w:rPr>
          <w:rFonts w:hint="eastAsia" w:ascii="宋体" w:hAnsi="宋体" w:cs="宋体"/>
          <w:sz w:val="24"/>
        </w:rPr>
        <w:t>1．该中标人与其他投标人串通进行投标的；</w:t>
      </w:r>
    </w:p>
    <w:p>
      <w:pPr>
        <w:overflowPunct w:val="0"/>
        <w:spacing w:line="440" w:lineRule="exact"/>
        <w:ind w:firstLine="480" w:firstLineChars="200"/>
        <w:rPr>
          <w:rFonts w:ascii="宋体" w:hAnsi="宋体" w:cs="宋体"/>
          <w:sz w:val="24"/>
        </w:rPr>
      </w:pPr>
      <w:r>
        <w:rPr>
          <w:rFonts w:hint="eastAsia" w:ascii="宋体" w:hAnsi="宋体" w:cs="宋体"/>
          <w:sz w:val="24"/>
        </w:rPr>
        <w:t>2．中标人弄虚作假骗取中标的。</w:t>
      </w:r>
    </w:p>
    <w:p>
      <w:pPr>
        <w:overflowPunct w:val="0"/>
        <w:spacing w:line="440" w:lineRule="exact"/>
        <w:ind w:firstLine="480" w:firstLineChars="200"/>
        <w:rPr>
          <w:rFonts w:ascii="宋体" w:hAnsi="宋体" w:cs="宋体"/>
          <w:sz w:val="24"/>
        </w:rPr>
      </w:pPr>
      <w:r>
        <w:rPr>
          <w:rFonts w:hint="eastAsia" w:ascii="宋体" w:hAnsi="宋体" w:cs="宋体"/>
          <w:sz w:val="24"/>
        </w:rPr>
        <w:t>（三）本招标文件为施工承包合同的组成部分，与施工承包合同具有同等法律效力。本工程中标通知书、本招标文件、招标答疑会纪要和中标人的投标承诺是双方签订施工合同的依据。要求中标人参照《建设工程标准施工合同》文本格式与建设方签订施工合同（合同文本格式详见本招标文件附件3），中标人在签订合同时对上述文件如有异议，不愿遵照执行，将被取消中标资格。</w:t>
      </w:r>
    </w:p>
    <w:p>
      <w:pPr>
        <w:overflowPunct w:val="0"/>
        <w:spacing w:line="440" w:lineRule="exact"/>
        <w:ind w:firstLine="482"/>
        <w:rPr>
          <w:rFonts w:ascii="宋体" w:hAnsi="宋体" w:cs="宋体"/>
          <w:b/>
          <w:bCs/>
          <w:sz w:val="24"/>
        </w:rPr>
      </w:pPr>
      <w:bookmarkStart w:id="40" w:name="_Toc61511586"/>
      <w:bookmarkStart w:id="41" w:name="_Toc136009911"/>
      <w:r>
        <w:rPr>
          <w:rFonts w:hint="eastAsia" w:ascii="宋体" w:hAnsi="宋体" w:cs="宋体"/>
          <w:b/>
          <w:bCs/>
          <w:sz w:val="24"/>
        </w:rPr>
        <w:t>十一、注意事项</w:t>
      </w:r>
      <w:bookmarkEnd w:id="39"/>
      <w:bookmarkEnd w:id="40"/>
      <w:bookmarkEnd w:id="41"/>
    </w:p>
    <w:p>
      <w:pPr>
        <w:overflowPunct w:val="0"/>
        <w:spacing w:line="440" w:lineRule="exact"/>
        <w:ind w:firstLine="480" w:firstLineChars="200"/>
        <w:rPr>
          <w:rFonts w:ascii="宋体" w:hAnsi="宋体" w:cs="宋体"/>
          <w:sz w:val="24"/>
        </w:rPr>
      </w:pPr>
      <w:bookmarkStart w:id="42" w:name="_Toc339544887"/>
      <w:r>
        <w:rPr>
          <w:rFonts w:hint="eastAsia" w:ascii="宋体" w:hAnsi="宋体" w:cs="宋体"/>
          <w:sz w:val="24"/>
        </w:rPr>
        <w:t>（一）投标人收到本工程的招标文件等资料后，若有不清楚或疑问者，请以书面文字一式二份（附电子光盘1张）送达广东外语外贸大学招标采购中心（广东外语外贸大学后勤楼420）。所作的解答和有关补充修正均以投标答疑纪要文字为准，并构成招标文件的组成部分。</w:t>
      </w:r>
    </w:p>
    <w:p>
      <w:pPr>
        <w:overflowPunct w:val="0"/>
        <w:spacing w:line="440" w:lineRule="exact"/>
        <w:ind w:firstLine="480" w:firstLineChars="200"/>
        <w:rPr>
          <w:rFonts w:ascii="宋体" w:hAnsi="宋体" w:cs="宋体"/>
          <w:sz w:val="24"/>
        </w:rPr>
      </w:pPr>
      <w:r>
        <w:rPr>
          <w:rFonts w:hint="eastAsia" w:ascii="宋体" w:hAnsi="宋体" w:cs="宋体"/>
          <w:sz w:val="24"/>
        </w:rPr>
        <w:t>（二）投标截止前，对有关本项目的文件、补充说明、招标答疑、图纸的问题与答复，均以书面函件为准。</w:t>
      </w:r>
    </w:p>
    <w:p>
      <w:pPr>
        <w:overflowPunct w:val="0"/>
        <w:spacing w:line="440" w:lineRule="exact"/>
        <w:ind w:firstLine="482"/>
        <w:rPr>
          <w:rFonts w:ascii="宋体" w:hAnsi="宋体" w:cs="宋体"/>
          <w:b/>
          <w:bCs/>
          <w:sz w:val="24"/>
        </w:rPr>
      </w:pPr>
      <w:bookmarkStart w:id="43" w:name="_Toc61511587"/>
      <w:bookmarkStart w:id="44" w:name="_Toc136009912"/>
      <w:r>
        <w:rPr>
          <w:rFonts w:hint="eastAsia" w:ascii="宋体" w:hAnsi="宋体" w:cs="宋体"/>
          <w:b/>
          <w:bCs/>
          <w:sz w:val="24"/>
        </w:rPr>
        <w:t>十二、对中标人的其他要求（投标时必须考虑相关费用）</w:t>
      </w:r>
      <w:bookmarkEnd w:id="42"/>
      <w:bookmarkEnd w:id="43"/>
      <w:bookmarkEnd w:id="44"/>
    </w:p>
    <w:p>
      <w:pPr>
        <w:pStyle w:val="52"/>
        <w:overflowPunct w:val="0"/>
        <w:spacing w:beforeLines="0" w:line="440" w:lineRule="exact"/>
        <w:ind w:firstLine="480"/>
        <w:rPr>
          <w:rFonts w:ascii="宋体" w:hAnsi="宋体" w:eastAsia="宋体" w:cs="宋体"/>
        </w:rPr>
      </w:pPr>
      <w:bookmarkStart w:id="45" w:name="_Toc339544888"/>
      <w:r>
        <w:rPr>
          <w:rFonts w:hint="eastAsia" w:ascii="宋体" w:hAnsi="宋体" w:eastAsia="宋体" w:cs="宋体"/>
        </w:rPr>
        <w:t>（一）投标人应充分考虑分步跨年施工期间市场价格波动引起的人工、材料、工程设备等价格上涨因素，并在投标价格中预留价格上涨空间，中标后不再因市场价格波动调整相应综合单价。</w:t>
      </w:r>
    </w:p>
    <w:p>
      <w:pPr>
        <w:pStyle w:val="52"/>
        <w:overflowPunct w:val="0"/>
        <w:spacing w:beforeLines="0" w:line="440" w:lineRule="exact"/>
        <w:ind w:firstLine="480"/>
        <w:rPr>
          <w:rFonts w:ascii="宋体" w:hAnsi="宋体" w:eastAsia="宋体" w:cs="宋体"/>
        </w:rPr>
      </w:pPr>
      <w:r>
        <w:rPr>
          <w:rFonts w:hint="eastAsia" w:ascii="宋体" w:hAnsi="宋体" w:eastAsia="宋体" w:cs="宋体"/>
        </w:rPr>
        <w:t>（二）承包人应严格遵守国家、省、市有关防火和施工安全以及文明施工、深夜施工、环卫和城管等规定，建立规章制度和防护措施，并承担由于自身措施不力造成事故责任和发生的费用。施工现场要求全封闭管理，二十四小时保卫值班，在施工阶段做出安全措施，防火防盗，防止工伤事故和意外伤害的发生。根据现场情况提供和维修非夜间施工使用的照明、围栏设施等安全标志。</w:t>
      </w:r>
    </w:p>
    <w:p>
      <w:pPr>
        <w:pStyle w:val="52"/>
        <w:overflowPunct w:val="0"/>
        <w:spacing w:beforeLines="0" w:line="440" w:lineRule="exact"/>
        <w:ind w:firstLine="480"/>
        <w:rPr>
          <w:rFonts w:ascii="宋体" w:hAnsi="宋体" w:eastAsia="宋体" w:cs="宋体"/>
        </w:rPr>
      </w:pPr>
      <w:r>
        <w:rPr>
          <w:rFonts w:hint="eastAsia" w:ascii="宋体" w:hAnsi="宋体" w:eastAsia="宋体" w:cs="宋体"/>
        </w:rPr>
        <w:t>（三）中标人应保证完工后七天内退出现场，在退场前应拆除临建工棚、施工设备并运走，及时清运本工程施工时所留余泥、建筑垃圾、多余土方等，并以通过发包人验收为标准，以保证施工范围及周边环境的干净、整洁。如未及时清理，则按违约处理，发包人按每天50元/㎡扣除场地占用费，直至按要求搬迁为止</w:t>
      </w:r>
      <w:r>
        <w:rPr>
          <w:rFonts w:hint="eastAsia" w:cs="仿宋_GB2312"/>
        </w:rPr>
        <w:t>（直至扣完全部场地占用保证押金）</w:t>
      </w:r>
      <w:r>
        <w:rPr>
          <w:rFonts w:hint="eastAsia" w:ascii="宋体" w:hAnsi="宋体" w:eastAsia="宋体" w:cs="宋体"/>
        </w:rPr>
        <w:t>；或者逾期不拆及不清运，发包人也有权安排其他单位完成，以上所需费用直接从承包人工程结算款中扣除。</w:t>
      </w:r>
    </w:p>
    <w:p>
      <w:pPr>
        <w:pStyle w:val="52"/>
        <w:overflowPunct w:val="0"/>
        <w:spacing w:beforeLines="0" w:line="440" w:lineRule="exact"/>
        <w:ind w:firstLine="480"/>
        <w:rPr>
          <w:rFonts w:ascii="宋体" w:hAnsi="宋体" w:eastAsia="宋体" w:cs="宋体"/>
        </w:rPr>
      </w:pPr>
      <w:r>
        <w:rPr>
          <w:rFonts w:hint="eastAsia" w:ascii="宋体" w:hAnsi="宋体" w:eastAsia="宋体" w:cs="宋体"/>
        </w:rPr>
        <w:t>（四）合同约定的工程项目，中标人不得转包，必须分包的少量子项目工程和专业工程，事先须取得建设单位的同意并在施工合同中确认。否则，建设单位有权单方面终止合同，并令其立即退场，由此造成的一切经济损失（包括质量、安全事故、拖延工期、增加投资等损失）由中标人负责赔偿。建设单位按工程建设程序可另行选择本工程的施工单位。</w:t>
      </w:r>
    </w:p>
    <w:p>
      <w:pPr>
        <w:pStyle w:val="52"/>
        <w:overflowPunct w:val="0"/>
        <w:spacing w:beforeLines="0" w:line="440" w:lineRule="exact"/>
        <w:ind w:firstLine="480"/>
        <w:rPr>
          <w:rFonts w:ascii="宋体" w:hAnsi="宋体" w:eastAsia="宋体" w:cs="宋体"/>
        </w:rPr>
      </w:pPr>
      <w:r>
        <w:rPr>
          <w:rFonts w:hint="eastAsia" w:ascii="宋体" w:hAnsi="宋体" w:eastAsia="宋体" w:cs="宋体"/>
        </w:rPr>
        <w:t>（五）要求中标人根据现场施工需要，自行铺设临时用水、用电管线，并安装独立施工用水、电表。按水表、电表实际用量及水电费的收费标准（</w:t>
      </w:r>
      <w:r>
        <w:rPr>
          <w:rFonts w:hint="eastAsia"/>
        </w:rPr>
        <w:t>水：4.86元/吨；电：0.89元/度</w:t>
      </w:r>
      <w:r>
        <w:rPr>
          <w:rFonts w:ascii="宋体" w:hAnsi="宋体" w:eastAsia="宋体" w:cs="宋体"/>
        </w:rPr>
        <w:t>）</w:t>
      </w:r>
      <w:r>
        <w:rPr>
          <w:rFonts w:hint="eastAsia" w:ascii="宋体" w:hAnsi="宋体" w:eastAsia="宋体" w:cs="宋体"/>
        </w:rPr>
        <w:t>缴至相关部门，请投标人在投标时考虑该项费用。</w:t>
      </w:r>
    </w:p>
    <w:p>
      <w:pPr>
        <w:pStyle w:val="52"/>
        <w:overflowPunct w:val="0"/>
        <w:spacing w:beforeLines="0" w:line="440" w:lineRule="exact"/>
        <w:ind w:firstLine="480"/>
        <w:rPr>
          <w:rFonts w:ascii="宋体" w:hAnsi="宋体" w:eastAsia="宋体" w:cs="宋体"/>
        </w:rPr>
      </w:pPr>
      <w:r>
        <w:rPr>
          <w:rFonts w:hint="eastAsia" w:ascii="宋体" w:hAnsi="宋体" w:eastAsia="宋体" w:cs="宋体"/>
        </w:rPr>
        <w:t>（六）中标人应遵守施工地的管理规定，在施工前须按国家和工程所在地社区的相关防疫规定做好防疫措施，投标时须综合考虑此项费用。</w:t>
      </w:r>
    </w:p>
    <w:p>
      <w:pPr>
        <w:pStyle w:val="52"/>
        <w:overflowPunct w:val="0"/>
        <w:spacing w:beforeLines="0" w:line="440" w:lineRule="exact"/>
        <w:ind w:firstLine="480"/>
        <w:rPr>
          <w:rFonts w:ascii="宋体" w:hAnsi="宋体" w:eastAsia="宋体" w:cs="宋体"/>
        </w:rPr>
      </w:pPr>
      <w:r>
        <w:rPr>
          <w:rFonts w:hint="eastAsia" w:ascii="宋体" w:hAnsi="宋体" w:eastAsia="宋体" w:cs="宋体"/>
        </w:rPr>
        <w:t>（七）中标人应按当地政府的规定办理有关施工场地交通、环卫、施工噪音、余泥排放手续，承担由此发生的费用，并在施工前书面知会发包人。按有关行政主管部门规定办理，在发包人校内需到保卫等部门办理有关手续。</w:t>
      </w:r>
    </w:p>
    <w:p>
      <w:pPr>
        <w:pStyle w:val="52"/>
        <w:overflowPunct w:val="0"/>
        <w:spacing w:beforeLines="0" w:line="440" w:lineRule="exact"/>
        <w:ind w:firstLine="480"/>
        <w:rPr>
          <w:rFonts w:ascii="宋体" w:hAnsi="宋体" w:eastAsia="宋体" w:cs="宋体"/>
        </w:rPr>
      </w:pPr>
      <w:r>
        <w:rPr>
          <w:rFonts w:hint="eastAsia" w:ascii="宋体" w:hAnsi="宋体" w:eastAsia="宋体" w:cs="宋体"/>
        </w:rPr>
        <w:t>（八）中标人在施工前，必须采取措施保护相关家具、设备、建筑物设施及周边绿化等不被损坏，如有损坏由承包人负责恢复原貌，发生的费用由承包人负责承担。</w:t>
      </w:r>
    </w:p>
    <w:p>
      <w:pPr>
        <w:pStyle w:val="52"/>
        <w:overflowPunct w:val="0"/>
        <w:spacing w:beforeLines="0" w:line="440" w:lineRule="exact"/>
        <w:ind w:firstLine="480"/>
        <w:rPr>
          <w:rFonts w:ascii="宋体" w:hAnsi="宋体" w:eastAsia="宋体" w:cs="宋体"/>
        </w:rPr>
      </w:pPr>
      <w:r>
        <w:rPr>
          <w:rFonts w:hint="eastAsia" w:ascii="宋体" w:hAnsi="宋体" w:eastAsia="宋体" w:cs="宋体"/>
        </w:rPr>
        <w:t>（九）施工场地周围地下管线和邻近建筑物、构筑物（含文物保护建筑）、古树名木的保护要求及费用承担：由中标人负责保护，保护措施费由中标人负责。因中标人原因保护不当造成的邻近建筑物、构筑物等设施的损坏，由中标人承担由此发生的费用与责任。</w:t>
      </w:r>
    </w:p>
    <w:p>
      <w:pPr>
        <w:pStyle w:val="52"/>
        <w:overflowPunct w:val="0"/>
        <w:spacing w:beforeLines="0" w:line="440" w:lineRule="exact"/>
        <w:ind w:firstLine="480"/>
        <w:rPr>
          <w:rFonts w:ascii="宋体" w:hAnsi="宋体" w:eastAsia="宋体" w:cs="宋体"/>
        </w:rPr>
      </w:pPr>
      <w:r>
        <w:rPr>
          <w:rFonts w:hint="eastAsia" w:ascii="宋体" w:hAnsi="宋体" w:eastAsia="宋体" w:cs="宋体"/>
        </w:rPr>
        <w:t>（十）中标人须按照扬尘污染防治管理以及费用专项使用的监管方案等的要求，制定相关措施，编制建设工程施工扬尘污染防治专项方案计划。</w:t>
      </w:r>
    </w:p>
    <w:p>
      <w:pPr>
        <w:pStyle w:val="52"/>
        <w:overflowPunct w:val="0"/>
        <w:spacing w:beforeLines="0" w:line="440" w:lineRule="exact"/>
        <w:ind w:firstLine="480"/>
        <w:rPr>
          <w:rFonts w:ascii="宋体" w:hAnsi="宋体" w:eastAsia="宋体" w:cs="宋体"/>
        </w:rPr>
      </w:pPr>
      <w:r>
        <w:rPr>
          <w:rFonts w:hint="eastAsia" w:ascii="宋体" w:hAnsi="宋体" w:eastAsia="宋体" w:cs="宋体"/>
        </w:rPr>
        <w:t>（十一）中标人在施工过程中应按《住房和城乡建设部关于进一步加强和完善建筑劳务管理工作的指导意见》（建市〔2014〕112号）和《广州市住房和城乡建设局关于印发〈广州市建筑施工实名制管理办法〉的通知》（穗建规字〔2020〕18号）中的各项规定建立施工现场人员基本信息档案，实行实名管理和工资支付制度。中标人随时接受招标人及建设行政主管部门的监督、检查，相关资料由承包人负责，随时备查。中标人不得以任何理由拖欠农民工工资，因拖欠农民工工资而被农民工投诉属实的，中标人必须在3天内发放拖欠的款项。若继续拖延发放农民工工资被投诉2次及以上，经核实，中标人除应立即支付拖欠款项外，还应支付5000元违约金给招标人。因中标人拖欠农民工工资，导致农民工采取停工、集聚围阻招标人办公地点甚至政府办公部门等过激行动的，中标人应支付10000元/次违约金，并立即采取切实有效措施予以整改。拒不采取切实有效措施整改的，或整改效果不明显的，招标人有权用中标人工程款垫付，工程结算审核后支付余下工程费用，若审核后招标人共支付的费用超出审核金额的，中标人应无条件退回超出部分（含质保金）。若中标人在本工程内发生无故拖欠农民工工资现象，将被作不良记录、对应的处罚以及上报区建设行政主管部门外，招标人有权追究其法律责任和要求承包人赔偿名誉和经济损失等。</w:t>
      </w:r>
    </w:p>
    <w:p>
      <w:pPr>
        <w:pStyle w:val="52"/>
        <w:overflowPunct w:val="0"/>
        <w:spacing w:beforeLines="0" w:line="440" w:lineRule="exact"/>
        <w:ind w:firstLine="480"/>
        <w:rPr>
          <w:rFonts w:ascii="宋体" w:hAnsi="宋体" w:eastAsia="宋体" w:cs="宋体"/>
        </w:rPr>
      </w:pPr>
      <w:r>
        <w:rPr>
          <w:rFonts w:hint="eastAsia" w:ascii="宋体" w:hAnsi="宋体" w:eastAsia="宋体" w:cs="宋体"/>
        </w:rPr>
        <w:t>（十二）中标人应遵守国家、省市其它有关文明施工规定和发包人校园管理有关规定。</w:t>
      </w:r>
    </w:p>
    <w:p>
      <w:pPr>
        <w:overflowPunct w:val="0"/>
        <w:spacing w:line="440" w:lineRule="exact"/>
        <w:ind w:firstLine="482"/>
        <w:rPr>
          <w:rFonts w:ascii="宋体" w:hAnsi="宋体" w:cs="宋体"/>
          <w:b/>
          <w:bCs/>
          <w:sz w:val="24"/>
        </w:rPr>
      </w:pPr>
      <w:bookmarkStart w:id="46" w:name="_Toc61511588"/>
      <w:bookmarkStart w:id="47" w:name="_Toc136009913"/>
      <w:r>
        <w:rPr>
          <w:rFonts w:hint="eastAsia" w:ascii="宋体" w:hAnsi="宋体" w:cs="宋体"/>
          <w:b/>
          <w:bCs/>
          <w:sz w:val="24"/>
        </w:rPr>
        <w:t>十三、</w:t>
      </w:r>
      <w:bookmarkEnd w:id="45"/>
      <w:bookmarkEnd w:id="46"/>
      <w:r>
        <w:rPr>
          <w:rFonts w:hint="eastAsia" w:ascii="宋体" w:hAnsi="宋体" w:cs="宋体"/>
          <w:b/>
          <w:bCs/>
          <w:sz w:val="24"/>
        </w:rPr>
        <w:t>开标、评标、定标</w:t>
      </w:r>
      <w:bookmarkEnd w:id="47"/>
    </w:p>
    <w:p>
      <w:pPr>
        <w:numPr>
          <w:ilvl w:val="255"/>
          <w:numId w:val="0"/>
        </w:numPr>
        <w:overflowPunct w:val="0"/>
        <w:spacing w:line="440" w:lineRule="exact"/>
        <w:ind w:firstLine="482" w:firstLineChars="200"/>
        <w:rPr>
          <w:rFonts w:ascii="宋体" w:hAnsi="宋体" w:cs="宋体"/>
          <w:b/>
          <w:bCs/>
          <w:kern w:val="0"/>
          <w:sz w:val="24"/>
        </w:rPr>
      </w:pPr>
      <w:r>
        <w:rPr>
          <w:rFonts w:hint="eastAsia" w:ascii="宋体" w:hAnsi="宋体" w:cs="宋体"/>
          <w:b/>
          <w:bCs/>
          <w:kern w:val="0"/>
          <w:sz w:val="24"/>
        </w:rPr>
        <w:t>（一）开标</w:t>
      </w:r>
    </w:p>
    <w:p>
      <w:pPr>
        <w:pStyle w:val="8"/>
        <w:overflowPunct w:val="0"/>
        <w:autoSpaceDE/>
        <w:autoSpaceDN/>
        <w:spacing w:line="440" w:lineRule="exact"/>
        <w:ind w:left="0" w:firstLine="480" w:firstLineChars="200"/>
        <w:rPr>
          <w:rFonts w:ascii="宋体" w:hAnsi="宋体" w:cs="宋体"/>
          <w:szCs w:val="24"/>
        </w:rPr>
      </w:pPr>
      <w:r>
        <w:rPr>
          <w:rFonts w:hint="eastAsia" w:ascii="宋体" w:hAnsi="宋体" w:cs="宋体"/>
          <w:szCs w:val="24"/>
        </w:rPr>
        <w:t>1.招标人在《投标邀请函》中规定的日期、时间和地点组织公开开标。</w:t>
      </w:r>
    </w:p>
    <w:p>
      <w:pPr>
        <w:pStyle w:val="8"/>
        <w:overflowPunct w:val="0"/>
        <w:autoSpaceDE/>
        <w:autoSpaceDN/>
        <w:spacing w:line="440" w:lineRule="exact"/>
        <w:ind w:left="0" w:firstLine="480" w:firstLineChars="200"/>
        <w:rPr>
          <w:rFonts w:ascii="宋体" w:hAnsi="宋体" w:cs="宋体"/>
          <w:szCs w:val="24"/>
        </w:rPr>
      </w:pPr>
      <w:r>
        <w:rPr>
          <w:rFonts w:hint="eastAsia" w:ascii="宋体" w:hAnsi="宋体" w:cs="宋体"/>
          <w:szCs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pPr>
        <w:pStyle w:val="8"/>
        <w:overflowPunct w:val="0"/>
        <w:autoSpaceDE/>
        <w:autoSpaceDN/>
        <w:spacing w:line="440" w:lineRule="exact"/>
        <w:ind w:left="0" w:firstLine="480" w:firstLineChars="200"/>
        <w:rPr>
          <w:rFonts w:ascii="宋体" w:hAnsi="宋体" w:cs="宋体"/>
          <w:szCs w:val="24"/>
        </w:rPr>
      </w:pPr>
      <w:r>
        <w:rPr>
          <w:rFonts w:hint="eastAsia" w:ascii="宋体" w:hAnsi="宋体" w:cs="宋体"/>
          <w:szCs w:val="24"/>
        </w:rPr>
        <w:t>3.招标人做好开标记录，开标记录由各投标供应商代表签字确认。</w:t>
      </w:r>
    </w:p>
    <w:p>
      <w:pPr>
        <w:numPr>
          <w:ilvl w:val="255"/>
          <w:numId w:val="0"/>
        </w:numPr>
        <w:overflowPunct w:val="0"/>
        <w:spacing w:line="440" w:lineRule="exact"/>
        <w:ind w:firstLine="482" w:firstLineChars="200"/>
        <w:rPr>
          <w:rFonts w:ascii="宋体" w:hAnsi="宋体" w:cs="宋体"/>
          <w:b/>
          <w:bCs/>
          <w:sz w:val="24"/>
        </w:rPr>
      </w:pPr>
      <w:r>
        <w:rPr>
          <w:rFonts w:hint="eastAsia" w:ascii="宋体" w:hAnsi="宋体" w:cs="宋体"/>
          <w:b/>
          <w:bCs/>
          <w:sz w:val="24"/>
        </w:rPr>
        <w:t>（二）评标委员会</w:t>
      </w:r>
    </w:p>
    <w:p>
      <w:pPr>
        <w:pStyle w:val="8"/>
        <w:overflowPunct w:val="0"/>
        <w:autoSpaceDE/>
        <w:autoSpaceDN/>
        <w:spacing w:line="440" w:lineRule="exact"/>
        <w:ind w:left="0" w:firstLine="480" w:firstLineChars="200"/>
        <w:rPr>
          <w:rFonts w:ascii="宋体" w:hAnsi="宋体" w:cs="宋体"/>
          <w:szCs w:val="24"/>
        </w:rPr>
      </w:pPr>
      <w:r>
        <w:rPr>
          <w:rFonts w:hint="eastAsia" w:ascii="宋体" w:hAnsi="宋体" w:cs="宋体"/>
          <w:szCs w:val="24"/>
        </w:rPr>
        <w:t>1.本次招标依法组建评标委员会。</w:t>
      </w:r>
    </w:p>
    <w:p>
      <w:pPr>
        <w:pStyle w:val="8"/>
        <w:overflowPunct w:val="0"/>
        <w:autoSpaceDE/>
        <w:autoSpaceDN/>
        <w:spacing w:line="440" w:lineRule="exact"/>
        <w:ind w:left="0" w:firstLine="480" w:firstLineChars="200"/>
        <w:rPr>
          <w:rFonts w:ascii="宋体" w:hAnsi="宋体" w:cs="宋体"/>
          <w:szCs w:val="24"/>
        </w:rPr>
      </w:pPr>
      <w:r>
        <w:rPr>
          <w:rFonts w:hint="eastAsia" w:ascii="宋体" w:hAnsi="宋体" w:cs="宋体"/>
          <w:szCs w:val="24"/>
        </w:rPr>
        <w:t>2.评标委员会将按照招标文件确定的评标方法进行评标。对招标文件中描述有歧义或前后不一致的地方，评标委员会有权按法律法规的规定进行评判，但对同一条款的评判应适用于每个投标人。</w:t>
      </w:r>
    </w:p>
    <w:p>
      <w:pPr>
        <w:pStyle w:val="8"/>
        <w:overflowPunct w:val="0"/>
        <w:autoSpaceDE/>
        <w:autoSpaceDN/>
        <w:spacing w:line="440" w:lineRule="exact"/>
        <w:ind w:left="0" w:firstLine="480" w:firstLineChars="200"/>
        <w:rPr>
          <w:rFonts w:ascii="宋体" w:hAnsi="宋体" w:cs="宋体"/>
          <w:szCs w:val="24"/>
        </w:rPr>
      </w:pPr>
      <w:r>
        <w:rPr>
          <w:rFonts w:hint="eastAsia" w:ascii="宋体" w:hAnsi="宋体" w:cs="宋体"/>
          <w:szCs w:val="24"/>
        </w:rPr>
        <w:t>3.在评标期间，为方便对投标文件进行审核、评估和对比，评标委员会可以书面形式要求投标人对投标文件中含义不明确、对同类问题表述不一致或者有明显文字和计算错误的内容做出必要的书面澄清说明，但该澄清说明不得超出投标文件的范围或者改变投标文件的实质性内容。</w:t>
      </w:r>
    </w:p>
    <w:p>
      <w:pPr>
        <w:pStyle w:val="8"/>
        <w:overflowPunct w:val="0"/>
        <w:autoSpaceDE/>
        <w:autoSpaceDN/>
        <w:spacing w:line="440" w:lineRule="exact"/>
        <w:ind w:left="0" w:firstLine="480" w:firstLineChars="200"/>
        <w:rPr>
          <w:rFonts w:ascii="宋体" w:hAnsi="宋体" w:cs="宋体"/>
          <w:szCs w:val="24"/>
        </w:rPr>
      </w:pPr>
      <w:r>
        <w:rPr>
          <w:rFonts w:hint="eastAsia" w:ascii="宋体" w:hAnsi="宋体" w:cs="宋体"/>
          <w:szCs w:val="24"/>
        </w:rPr>
        <w:t>4.如有必要，评标委员会将书面要求投标人修正投标文件中不构成实质性偏离的、微小的、 非正规的、不一致的或不规则的地方，这些修正不应影响评标的公平公正。</w:t>
      </w:r>
    </w:p>
    <w:p>
      <w:pPr>
        <w:overflowPunct w:val="0"/>
        <w:spacing w:line="440" w:lineRule="exact"/>
        <w:ind w:firstLine="482" w:firstLineChars="200"/>
        <w:rPr>
          <w:rFonts w:ascii="宋体" w:hAnsi="宋体" w:cs="宋体"/>
          <w:sz w:val="24"/>
        </w:rPr>
      </w:pPr>
      <w:bookmarkStart w:id="48" w:name="_Toc61511589"/>
      <w:bookmarkStart w:id="49" w:name="_Toc123308143"/>
      <w:r>
        <w:rPr>
          <w:rFonts w:hint="eastAsia" w:ascii="宋体" w:hAnsi="宋体" w:cs="宋体"/>
          <w:b/>
          <w:bCs/>
          <w:sz w:val="24"/>
        </w:rPr>
        <w:t>（三）评标方法、步骤及标准</w:t>
      </w:r>
      <w:bookmarkEnd w:id="48"/>
      <w:bookmarkEnd w:id="49"/>
    </w:p>
    <w:p>
      <w:pPr>
        <w:overflowPunct w:val="0"/>
        <w:spacing w:line="440" w:lineRule="exact"/>
        <w:ind w:firstLine="480" w:firstLineChars="200"/>
        <w:rPr>
          <w:rFonts w:ascii="宋体" w:hAnsi="宋体" w:cs="宋体"/>
          <w:sz w:val="24"/>
        </w:rPr>
      </w:pPr>
      <w:r>
        <w:rPr>
          <w:rFonts w:hint="eastAsia" w:ascii="宋体" w:hAnsi="宋体" w:cs="宋体"/>
          <w:sz w:val="24"/>
        </w:rPr>
        <w:t>本次评标采用“平均值评分法”，按照“公平、公正、公开、诚信”的竞争原则下进行评选。</w:t>
      </w:r>
    </w:p>
    <w:p>
      <w:pPr>
        <w:overflowPunct w:val="0"/>
        <w:spacing w:line="440" w:lineRule="exact"/>
        <w:ind w:left="237" w:leftChars="113" w:firstLine="240" w:firstLineChars="100"/>
        <w:rPr>
          <w:rFonts w:ascii="宋体" w:hAnsi="宋体" w:cs="宋体"/>
          <w:sz w:val="24"/>
        </w:rPr>
      </w:pPr>
      <w:r>
        <w:rPr>
          <w:rFonts w:hint="eastAsia" w:ascii="宋体" w:hAnsi="宋体" w:cs="宋体"/>
          <w:sz w:val="24"/>
        </w:rPr>
        <w:t>1.资格性及符合性有效性审查</w:t>
      </w:r>
    </w:p>
    <w:p>
      <w:pPr>
        <w:overflowPunct w:val="0"/>
        <w:spacing w:line="440" w:lineRule="exact"/>
        <w:ind w:firstLine="480" w:firstLineChars="200"/>
        <w:rPr>
          <w:rFonts w:ascii="宋体" w:hAnsi="宋体" w:cs="宋体"/>
          <w:sz w:val="24"/>
        </w:rPr>
      </w:pPr>
      <w:r>
        <w:rPr>
          <w:rFonts w:hint="eastAsia" w:ascii="宋体" w:hAnsi="宋体" w:cs="宋体"/>
          <w:sz w:val="24"/>
        </w:rPr>
        <w:t>投标文件中完全符合列于本招标文件附表一《资格性及符合性有效性审查表》中所要求条款的，为有效标书。否则为无效标书，经评标委员会认定后，其投标文件将被拒绝。</w:t>
      </w:r>
    </w:p>
    <w:p>
      <w:pPr>
        <w:overflowPunct w:val="0"/>
        <w:spacing w:line="440" w:lineRule="exact"/>
        <w:ind w:left="420" w:leftChars="200"/>
        <w:rPr>
          <w:rFonts w:ascii="宋体" w:hAnsi="宋体" w:cs="宋体"/>
          <w:sz w:val="24"/>
        </w:rPr>
      </w:pPr>
      <w:r>
        <w:rPr>
          <w:rFonts w:hint="eastAsia" w:ascii="宋体" w:hAnsi="宋体" w:cs="宋体"/>
          <w:sz w:val="24"/>
        </w:rPr>
        <w:t>1.1 投标人有以下情形之一的，其投标作废标处理：</w:t>
      </w:r>
    </w:p>
    <w:p>
      <w:pPr>
        <w:overflowPunct w:val="0"/>
        <w:spacing w:line="440" w:lineRule="exact"/>
        <w:ind w:firstLine="480" w:firstLineChars="200"/>
        <w:rPr>
          <w:rFonts w:ascii="宋体" w:hAnsi="宋体" w:cs="宋体"/>
          <w:sz w:val="24"/>
        </w:rPr>
      </w:pPr>
      <w:r>
        <w:rPr>
          <w:rFonts w:hint="eastAsia" w:ascii="宋体" w:hAnsi="宋体" w:cs="宋体"/>
          <w:sz w:val="24"/>
        </w:rPr>
        <w:t>(l）不满足《资格性及符合性有效性审查表》规定的任何一项情形的；</w:t>
      </w:r>
    </w:p>
    <w:p>
      <w:pPr>
        <w:overflowPunct w:val="0"/>
        <w:spacing w:line="440" w:lineRule="exact"/>
        <w:ind w:firstLine="480" w:firstLineChars="200"/>
        <w:rPr>
          <w:rFonts w:ascii="宋体" w:hAnsi="宋体" w:cs="宋体"/>
          <w:sz w:val="24"/>
        </w:rPr>
      </w:pPr>
      <w:r>
        <w:rPr>
          <w:rFonts w:hint="eastAsia" w:ascii="宋体" w:hAnsi="宋体" w:cs="宋体"/>
          <w:sz w:val="24"/>
        </w:rPr>
        <w:t>(2）串通投标或弄虚作假或有其他违法行为的；</w:t>
      </w:r>
    </w:p>
    <w:p>
      <w:pPr>
        <w:overflowPunct w:val="0"/>
        <w:spacing w:line="440" w:lineRule="exact"/>
        <w:ind w:firstLine="480" w:firstLineChars="200"/>
        <w:rPr>
          <w:rFonts w:ascii="宋体" w:hAnsi="宋体" w:cs="宋体"/>
          <w:sz w:val="24"/>
        </w:rPr>
      </w:pPr>
      <w:r>
        <w:rPr>
          <w:rFonts w:hint="eastAsia" w:ascii="宋体" w:hAnsi="宋体" w:cs="宋体"/>
          <w:sz w:val="24"/>
        </w:rPr>
        <w:t>(3）不按评标委员会要求澄清、说明或补正的。</w:t>
      </w:r>
    </w:p>
    <w:p>
      <w:pPr>
        <w:overflowPunct w:val="0"/>
        <w:spacing w:line="440" w:lineRule="exact"/>
        <w:ind w:firstLine="480" w:firstLineChars="200"/>
        <w:rPr>
          <w:rFonts w:ascii="宋体" w:hAnsi="宋体" w:cs="宋体"/>
          <w:sz w:val="24"/>
        </w:rPr>
      </w:pPr>
      <w:r>
        <w:rPr>
          <w:rFonts w:hint="eastAsia" w:ascii="宋体" w:hAnsi="宋体" w:cs="宋体"/>
          <w:sz w:val="24"/>
        </w:rPr>
        <w:t>1.2 在资格性及技术性评审结束后，评标委员会根据评审情况编制初步评审报告。在资格性及技术性评审结束后，若有效投标单位不少于3家，进入详细评审。但未通过资格性及技术性评审的投标人的报价将认定无效，不进行详细评审。若有效投标单位不足3家，重新组织招标。</w:t>
      </w:r>
    </w:p>
    <w:p>
      <w:pPr>
        <w:overflowPunct w:val="0"/>
        <w:spacing w:line="440" w:lineRule="exact"/>
        <w:ind w:firstLine="566"/>
        <w:rPr>
          <w:rFonts w:ascii="宋体" w:hAnsi="宋体" w:cs="宋体"/>
          <w:sz w:val="24"/>
        </w:rPr>
      </w:pPr>
      <w:r>
        <w:rPr>
          <w:rFonts w:hint="eastAsia" w:ascii="宋体" w:hAnsi="宋体" w:cs="宋体"/>
          <w:sz w:val="24"/>
        </w:rPr>
        <w:t>2．投标文件算术校核</w:t>
      </w:r>
    </w:p>
    <w:p>
      <w:pPr>
        <w:overflowPunct w:val="0"/>
        <w:spacing w:line="440" w:lineRule="exact"/>
        <w:ind w:firstLine="480" w:firstLineChars="200"/>
        <w:rPr>
          <w:rFonts w:ascii="宋体" w:hAnsi="宋体" w:cs="宋体"/>
          <w:sz w:val="24"/>
        </w:rPr>
      </w:pPr>
      <w:r>
        <w:rPr>
          <w:rFonts w:hint="eastAsia" w:ascii="宋体" w:hAnsi="宋体" w:cs="宋体"/>
          <w:sz w:val="24"/>
        </w:rPr>
        <w:t>评标委员会将对投标文件投标报价按照就低不就高的原则进行算术校核，具体标准如下：</w:t>
      </w:r>
    </w:p>
    <w:p>
      <w:pPr>
        <w:tabs>
          <w:tab w:val="left" w:pos="420"/>
          <w:tab w:val="left" w:pos="840"/>
        </w:tabs>
        <w:overflowPunct w:val="0"/>
        <w:spacing w:line="440" w:lineRule="exact"/>
        <w:ind w:firstLine="480" w:firstLineChars="200"/>
        <w:rPr>
          <w:rFonts w:ascii="宋体" w:hAnsi="宋体" w:cs="宋体"/>
          <w:sz w:val="24"/>
        </w:rPr>
      </w:pPr>
      <w:r>
        <w:rPr>
          <w:rFonts w:hint="eastAsia" w:ascii="宋体" w:hAnsi="宋体" w:cs="宋体"/>
          <w:sz w:val="24"/>
        </w:rPr>
        <w:t>（1）如果数字表示的金额和用文字表示的金额不一致时，应以文字表示的金额为准；</w:t>
      </w:r>
    </w:p>
    <w:p>
      <w:pPr>
        <w:tabs>
          <w:tab w:val="left" w:pos="420"/>
          <w:tab w:val="left" w:pos="840"/>
        </w:tabs>
        <w:overflowPunct w:val="0"/>
        <w:spacing w:line="440" w:lineRule="exact"/>
        <w:ind w:firstLine="480" w:firstLineChars="200"/>
        <w:rPr>
          <w:rFonts w:ascii="宋体" w:hAnsi="宋体" w:cs="宋体"/>
          <w:sz w:val="24"/>
        </w:rPr>
      </w:pPr>
      <w:r>
        <w:rPr>
          <w:rFonts w:hint="eastAsia" w:ascii="宋体" w:hAnsi="宋体" w:cs="宋体"/>
          <w:sz w:val="24"/>
        </w:rPr>
        <w:t>（2）经算术复核的报价与其投标报价不一致时，按就低不就高原则确定其最终报价；</w:t>
      </w:r>
    </w:p>
    <w:p>
      <w:pPr>
        <w:tabs>
          <w:tab w:val="left" w:pos="420"/>
          <w:tab w:val="left" w:pos="840"/>
        </w:tabs>
        <w:overflowPunct w:val="0"/>
        <w:spacing w:line="440" w:lineRule="exact"/>
        <w:ind w:firstLine="480" w:firstLineChars="200"/>
        <w:rPr>
          <w:rFonts w:ascii="宋体" w:hAnsi="宋体" w:cs="宋体"/>
          <w:sz w:val="24"/>
        </w:rPr>
      </w:pPr>
      <w:r>
        <w:rPr>
          <w:rFonts w:hint="eastAsia" w:ascii="宋体" w:hAnsi="宋体" w:cs="宋体"/>
          <w:sz w:val="24"/>
        </w:rPr>
        <w:t>（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tabs>
          <w:tab w:val="left" w:pos="420"/>
          <w:tab w:val="left" w:pos="840"/>
        </w:tabs>
        <w:overflowPunct w:val="0"/>
        <w:spacing w:line="440" w:lineRule="exact"/>
        <w:ind w:firstLine="480" w:firstLineChars="200"/>
        <w:rPr>
          <w:rFonts w:ascii="宋体" w:hAnsi="宋体" w:cs="宋体"/>
          <w:sz w:val="24"/>
        </w:rPr>
      </w:pPr>
      <w:r>
        <w:rPr>
          <w:rFonts w:hint="eastAsia" w:ascii="宋体" w:hAnsi="宋体" w:cs="宋体"/>
          <w:sz w:val="24"/>
        </w:rPr>
        <w:t>（4）当合价、金额累加错误时，按就低不就高原则，如果累加修正值小于原累加值，则按累加修正值；如果累加修正值大于原累加值，则按原累加值；</w:t>
      </w:r>
    </w:p>
    <w:p>
      <w:pPr>
        <w:tabs>
          <w:tab w:val="left" w:pos="420"/>
          <w:tab w:val="left" w:pos="840"/>
        </w:tabs>
        <w:overflowPunct w:val="0"/>
        <w:spacing w:line="440" w:lineRule="exact"/>
        <w:ind w:firstLine="480" w:firstLineChars="200"/>
        <w:rPr>
          <w:rFonts w:ascii="宋体" w:hAnsi="宋体" w:cs="宋体"/>
          <w:sz w:val="24"/>
        </w:rPr>
      </w:pPr>
      <w:r>
        <w:rPr>
          <w:rFonts w:hint="eastAsia" w:ascii="宋体" w:hAnsi="宋体" w:cs="宋体"/>
          <w:sz w:val="24"/>
        </w:rPr>
        <w:t>（5）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采购人工程量清单为准进行修正；若同时缺省或不填项目编码和项目名称，则该项按增项处理；⑤分部分项项目增项的，不予修改；⑥其它招标文件规定需要修改的，均以就低不就高原则进行修改。</w:t>
      </w:r>
    </w:p>
    <w:p>
      <w:pPr>
        <w:tabs>
          <w:tab w:val="left" w:pos="420"/>
          <w:tab w:val="left" w:pos="709"/>
          <w:tab w:val="left" w:pos="840"/>
        </w:tabs>
        <w:overflowPunct w:val="0"/>
        <w:spacing w:line="440" w:lineRule="exact"/>
        <w:ind w:firstLine="480" w:firstLineChars="200"/>
        <w:rPr>
          <w:rFonts w:ascii="宋体" w:hAnsi="宋体" w:cs="宋体"/>
          <w:sz w:val="24"/>
        </w:rPr>
      </w:pPr>
      <w:r>
        <w:rPr>
          <w:rFonts w:hint="eastAsia" w:ascii="宋体" w:hAnsi="宋体" w:cs="宋体"/>
          <w:sz w:val="24"/>
        </w:rPr>
        <w:t>（6）按就低不就高原则，当修正后报价小于原报价，总价按修正后报价；当修正后报价大于原报价，总价按原报价，并在签订合同时载明在结算价中扣除修正报价与原报价的差额。</w:t>
      </w:r>
    </w:p>
    <w:p>
      <w:pPr>
        <w:tabs>
          <w:tab w:val="left" w:pos="420"/>
          <w:tab w:val="left" w:pos="709"/>
          <w:tab w:val="left" w:pos="840"/>
        </w:tabs>
        <w:overflowPunct w:val="0"/>
        <w:spacing w:line="440" w:lineRule="exact"/>
        <w:ind w:firstLine="480" w:firstLineChars="200"/>
        <w:rPr>
          <w:rFonts w:ascii="宋体" w:hAnsi="宋体" w:cs="宋体"/>
          <w:sz w:val="24"/>
        </w:rPr>
      </w:pPr>
      <w:r>
        <w:rPr>
          <w:rFonts w:hint="eastAsia" w:ascii="宋体" w:hAnsi="宋体" w:cs="宋体"/>
          <w:sz w:val="24"/>
        </w:rPr>
        <w:t>（7）按上述修正错误的原则及方法调整或修正投标文件的投标报价，调整后的投标报价对投标人起约束作用。如果投标人不接受修正后的报价，则取消其投标资格。</w:t>
      </w:r>
    </w:p>
    <w:p>
      <w:pPr>
        <w:pStyle w:val="66"/>
        <w:tabs>
          <w:tab w:val="left" w:pos="420"/>
          <w:tab w:val="left" w:pos="709"/>
          <w:tab w:val="left" w:pos="840"/>
        </w:tabs>
        <w:overflowPunct w:val="0"/>
        <w:spacing w:after="0" w:line="440" w:lineRule="exact"/>
        <w:ind w:firstLine="480" w:firstLineChars="200"/>
        <w:rPr>
          <w:rFonts w:ascii="宋体" w:hAnsi="宋体" w:cs="宋体"/>
          <w:sz w:val="24"/>
        </w:rPr>
      </w:pPr>
      <w:r>
        <w:rPr>
          <w:rFonts w:hint="eastAsia" w:ascii="宋体" w:hAnsi="宋体" w:cs="宋体"/>
          <w:sz w:val="24"/>
        </w:rPr>
        <w:t>（8）评标委员会发现投标人的报价明显低于其他投标报价，或者在设有标底时明显低于标底，使得其投标报价可能低于其成本的，应当要求该投标人做出书面说明并提供相应的证明材料。投标人不能合理说明或者不能提供相应证明材料的，由评标委员会认定该投标人以低于成本报价竞标，其投标作废标处理。</w:t>
      </w:r>
    </w:p>
    <w:p>
      <w:pPr>
        <w:pStyle w:val="66"/>
        <w:tabs>
          <w:tab w:val="left" w:pos="420"/>
          <w:tab w:val="left" w:pos="709"/>
          <w:tab w:val="left" w:pos="840"/>
        </w:tabs>
        <w:overflowPunct w:val="0"/>
        <w:spacing w:after="0" w:line="440" w:lineRule="exact"/>
        <w:ind w:firstLine="480" w:firstLineChars="200"/>
        <w:rPr>
          <w:rFonts w:ascii="宋体" w:hAnsi="宋体" w:cs="宋体"/>
          <w:sz w:val="24"/>
        </w:rPr>
      </w:pPr>
      <w:r>
        <w:rPr>
          <w:rFonts w:hint="eastAsia" w:ascii="宋体" w:hAnsi="宋体" w:cs="宋体"/>
          <w:sz w:val="24"/>
        </w:rPr>
        <w:t>3．投标报价评分排序</w:t>
      </w:r>
    </w:p>
    <w:p>
      <w:pPr>
        <w:pStyle w:val="8"/>
        <w:tabs>
          <w:tab w:val="left" w:pos="7740"/>
        </w:tabs>
        <w:overflowPunct w:val="0"/>
        <w:autoSpaceDE/>
        <w:autoSpaceDN/>
        <w:spacing w:line="440" w:lineRule="exact"/>
        <w:ind w:left="0" w:firstLine="480" w:firstLineChars="200"/>
        <w:rPr>
          <w:rFonts w:ascii="宋体" w:hAnsi="宋体" w:cs="宋体"/>
          <w:szCs w:val="24"/>
        </w:rPr>
      </w:pPr>
      <w:r>
        <w:rPr>
          <w:rFonts w:hint="eastAsia" w:ascii="宋体" w:hAnsi="宋体" w:cs="宋体"/>
          <w:szCs w:val="24"/>
        </w:rPr>
        <w:t>3.1 价格得分（100分），价格得分计算如下：</w:t>
      </w:r>
    </w:p>
    <w:p>
      <w:pPr>
        <w:pStyle w:val="8"/>
        <w:tabs>
          <w:tab w:val="left" w:pos="7740"/>
        </w:tabs>
        <w:overflowPunct w:val="0"/>
        <w:autoSpaceDE/>
        <w:autoSpaceDN/>
        <w:spacing w:line="440" w:lineRule="exact"/>
        <w:ind w:left="0" w:firstLine="480" w:firstLineChars="200"/>
        <w:rPr>
          <w:rFonts w:ascii="宋体" w:hAnsi="宋体" w:cs="宋体"/>
          <w:szCs w:val="24"/>
        </w:rPr>
      </w:pPr>
      <w:r>
        <w:rPr>
          <w:rFonts w:hint="eastAsia" w:ascii="宋体" w:hAnsi="宋体" w:cs="宋体"/>
          <w:szCs w:val="24"/>
        </w:rPr>
        <w:t>（1）基准价格（用A表示）的确定：若有效投标人不少于5家（含5家）取所有通过初步审查投标人的算术平均值，去掉一个最高价和一个最低价后，剩余投标的算术平均值。即A=（N家投标人的投标价总额－最高价－最低价）/（N-2）；若有效投标人为3家或4家，价格基数则为所有有效投标人的投标价总额的算术平均值；即A=N家投标人的投标价总额/N。</w:t>
      </w:r>
    </w:p>
    <w:p>
      <w:pPr>
        <w:pStyle w:val="8"/>
        <w:tabs>
          <w:tab w:val="left" w:pos="7740"/>
        </w:tabs>
        <w:overflowPunct w:val="0"/>
        <w:autoSpaceDE/>
        <w:autoSpaceDN/>
        <w:spacing w:line="440" w:lineRule="exact"/>
        <w:ind w:left="0" w:firstLine="480" w:firstLineChars="200"/>
        <w:rPr>
          <w:rFonts w:ascii="宋体" w:hAnsi="宋体" w:cs="宋体"/>
          <w:szCs w:val="24"/>
        </w:rPr>
      </w:pPr>
      <w:r>
        <w:rPr>
          <w:rFonts w:hint="eastAsia" w:ascii="宋体" w:hAnsi="宋体" w:cs="宋体"/>
          <w:szCs w:val="24"/>
        </w:rPr>
        <w:t>（2）基准价格为：基准价格=A。</w:t>
      </w:r>
    </w:p>
    <w:p>
      <w:pPr>
        <w:pStyle w:val="8"/>
        <w:tabs>
          <w:tab w:val="left" w:pos="7740"/>
        </w:tabs>
        <w:overflowPunct w:val="0"/>
        <w:autoSpaceDE/>
        <w:autoSpaceDN/>
        <w:spacing w:line="440" w:lineRule="exact"/>
        <w:ind w:left="0" w:firstLine="480" w:firstLineChars="200"/>
        <w:rPr>
          <w:rFonts w:ascii="宋体" w:hAnsi="宋体" w:cs="宋体"/>
          <w:szCs w:val="24"/>
        </w:rPr>
      </w:pPr>
      <w:r>
        <w:rPr>
          <w:rFonts w:hint="eastAsia" w:ascii="宋体" w:hAnsi="宋体" w:cs="宋体"/>
          <w:szCs w:val="24"/>
        </w:rPr>
        <w:t>（3）投标人报价等于基准价的为100分，每高于基准价1%的扣2分，每低于基准价1%的扣1分。</w:t>
      </w:r>
    </w:p>
    <w:p>
      <w:pPr>
        <w:pStyle w:val="8"/>
        <w:numPr>
          <w:ilvl w:val="255"/>
          <w:numId w:val="0"/>
        </w:numPr>
        <w:tabs>
          <w:tab w:val="left" w:pos="7740"/>
        </w:tabs>
        <w:overflowPunct w:val="0"/>
        <w:autoSpaceDE/>
        <w:autoSpaceDN/>
        <w:spacing w:line="440" w:lineRule="exact"/>
        <w:ind w:firstLine="480" w:firstLineChars="200"/>
        <w:rPr>
          <w:rFonts w:ascii="宋体" w:hAnsi="宋体" w:cs="宋体"/>
          <w:szCs w:val="24"/>
        </w:rPr>
      </w:pPr>
      <w:r>
        <w:rPr>
          <w:rFonts w:hint="eastAsia" w:ascii="宋体" w:hAnsi="宋体" w:cs="宋体"/>
          <w:szCs w:val="24"/>
        </w:rPr>
        <w:t>3.2 投标人的价格得分即为该投标人的总报价得分。</w:t>
      </w:r>
    </w:p>
    <w:p>
      <w:pPr>
        <w:pStyle w:val="269"/>
        <w:numPr>
          <w:ilvl w:val="255"/>
          <w:numId w:val="0"/>
        </w:numPr>
        <w:overflowPunct w:val="0"/>
        <w:spacing w:line="440" w:lineRule="exact"/>
        <w:ind w:firstLine="482" w:firstLineChars="200"/>
        <w:rPr>
          <w:rFonts w:ascii="宋体" w:hAnsi="宋体" w:cs="宋体"/>
          <w:b/>
          <w:bCs/>
          <w:sz w:val="24"/>
        </w:rPr>
      </w:pPr>
      <w:r>
        <w:rPr>
          <w:rFonts w:hint="eastAsia" w:ascii="宋体" w:hAnsi="宋体" w:cs="宋体"/>
          <w:b/>
          <w:bCs/>
          <w:sz w:val="24"/>
        </w:rPr>
        <w:t>（四）定标</w:t>
      </w:r>
    </w:p>
    <w:p>
      <w:pPr>
        <w:overflowPunct w:val="0"/>
        <w:spacing w:line="440" w:lineRule="exact"/>
        <w:ind w:firstLine="480" w:firstLineChars="200"/>
        <w:rPr>
          <w:rFonts w:ascii="宋体" w:hAnsi="宋体" w:cs="宋体"/>
          <w:sz w:val="24"/>
        </w:rPr>
      </w:pPr>
      <w:r>
        <w:rPr>
          <w:rFonts w:hint="eastAsia" w:ascii="宋体" w:hAnsi="宋体" w:cs="宋体"/>
          <w:sz w:val="24"/>
        </w:rPr>
        <w:t>1.中标单位的确定</w:t>
      </w:r>
    </w:p>
    <w:p>
      <w:pPr>
        <w:overflowPunct w:val="0"/>
        <w:spacing w:line="440" w:lineRule="exact"/>
        <w:ind w:firstLine="480" w:firstLineChars="200"/>
        <w:rPr>
          <w:rFonts w:ascii="宋体" w:hAnsi="宋体" w:cs="宋体"/>
          <w:sz w:val="24"/>
        </w:rPr>
      </w:pPr>
      <w:r>
        <w:rPr>
          <w:rFonts w:hint="eastAsia" w:ascii="宋体" w:hAnsi="宋体" w:cs="宋体"/>
          <w:sz w:val="24"/>
        </w:rPr>
        <w:t>评标委员会将按各投标人总报价得分由高到低的原则对所有通过初审的投标人进行排序，推荐排名第一的为第一中标候选人，排名第二的为中标备选人。</w:t>
      </w:r>
    </w:p>
    <w:p>
      <w:pPr>
        <w:pStyle w:val="269"/>
        <w:overflowPunct w:val="0"/>
        <w:spacing w:line="440" w:lineRule="exact"/>
        <w:ind w:left="420" w:leftChars="200" w:firstLine="0" w:firstLineChars="0"/>
        <w:rPr>
          <w:rFonts w:ascii="宋体" w:hAnsi="宋体" w:cs="宋体"/>
          <w:kern w:val="0"/>
          <w:sz w:val="24"/>
        </w:rPr>
      </w:pPr>
      <w:r>
        <w:rPr>
          <w:rFonts w:hint="eastAsia" w:ascii="宋体" w:hAnsi="宋体" w:cs="宋体"/>
          <w:kern w:val="0"/>
          <w:sz w:val="24"/>
        </w:rPr>
        <w:t>2.中标价的确定</w:t>
      </w:r>
    </w:p>
    <w:p>
      <w:pPr>
        <w:pStyle w:val="33"/>
        <w:overflowPunct w:val="0"/>
        <w:spacing w:line="440" w:lineRule="exact"/>
        <w:ind w:firstLine="480" w:firstLineChars="200"/>
        <w:rPr>
          <w:rFonts w:hAnsi="宋体" w:cs="宋体"/>
          <w:sz w:val="24"/>
          <w:szCs w:val="24"/>
        </w:rPr>
      </w:pPr>
      <w:r>
        <w:rPr>
          <w:rFonts w:hint="eastAsia" w:hAnsi="宋体" w:cs="宋体"/>
          <w:sz w:val="24"/>
          <w:szCs w:val="24"/>
        </w:rPr>
        <w:t>中标价以开标时公开唱读额为准；如有缺项、漏项，视为已包含在中标价中。</w:t>
      </w:r>
    </w:p>
    <w:p>
      <w:pPr>
        <w:pStyle w:val="33"/>
        <w:overflowPunct w:val="0"/>
        <w:spacing w:line="440" w:lineRule="exact"/>
        <w:ind w:firstLine="480" w:firstLineChars="200"/>
        <w:rPr>
          <w:rFonts w:hAnsi="宋体" w:cs="宋体"/>
          <w:sz w:val="24"/>
          <w:szCs w:val="24"/>
        </w:rPr>
      </w:pPr>
      <w:r>
        <w:rPr>
          <w:rFonts w:hint="eastAsia" w:hAnsi="宋体" w:cs="宋体"/>
          <w:sz w:val="24"/>
          <w:szCs w:val="24"/>
        </w:rPr>
        <w:t>3.发布中标结果</w:t>
      </w:r>
    </w:p>
    <w:p>
      <w:pPr>
        <w:overflowPunct w:val="0"/>
        <w:spacing w:line="440" w:lineRule="exact"/>
        <w:ind w:firstLine="480" w:firstLineChars="200"/>
        <w:rPr>
          <w:rFonts w:ascii="宋体" w:hAnsi="宋体" w:cs="宋体"/>
          <w:kern w:val="0"/>
          <w:sz w:val="24"/>
        </w:rPr>
      </w:pPr>
      <w:r>
        <w:rPr>
          <w:rFonts w:hint="eastAsia" w:ascii="宋体" w:hAnsi="宋体" w:cs="宋体"/>
          <w:kern w:val="0"/>
          <w:sz w:val="24"/>
        </w:rPr>
        <w:t>3.1招标人将在以下地址公告中标结果：</w:t>
      </w:r>
    </w:p>
    <w:p>
      <w:pPr>
        <w:overflowPunct w:val="0"/>
        <w:spacing w:line="440" w:lineRule="exact"/>
        <w:ind w:firstLine="480" w:firstLineChars="200"/>
        <w:rPr>
          <w:rFonts w:ascii="宋体" w:hAnsi="宋体" w:cs="宋体"/>
          <w:kern w:val="0"/>
          <w:sz w:val="24"/>
        </w:rPr>
      </w:pPr>
      <w:r>
        <w:rPr>
          <w:rFonts w:hint="eastAsia" w:ascii="宋体" w:hAnsi="宋体" w:cs="宋体"/>
          <w:kern w:val="0"/>
          <w:sz w:val="24"/>
        </w:rPr>
        <w:t>广东外语外贸大学网站主页，招投标公告网址：</w:t>
      </w:r>
      <w:r>
        <w:fldChar w:fldCharType="begin"/>
      </w:r>
      <w:r>
        <w:instrText xml:space="preserve"> HYPERLINK "http://www.gdufs.edu.cn/ztbgg.htm" </w:instrText>
      </w:r>
      <w:r>
        <w:fldChar w:fldCharType="separate"/>
      </w:r>
      <w:r>
        <w:rPr>
          <w:rFonts w:hint="eastAsia" w:ascii="宋体" w:hAnsi="宋体" w:cs="宋体"/>
          <w:kern w:val="0"/>
          <w:sz w:val="24"/>
        </w:rPr>
        <w:t>http://www.gdufs.edu.cn/ztbgg.htm</w:t>
      </w:r>
      <w:r>
        <w:rPr>
          <w:rFonts w:hint="eastAsia" w:ascii="宋体" w:hAnsi="宋体" w:cs="宋体"/>
          <w:kern w:val="0"/>
          <w:sz w:val="24"/>
        </w:rPr>
        <w:fldChar w:fldCharType="end"/>
      </w:r>
    </w:p>
    <w:p>
      <w:pPr>
        <w:pStyle w:val="8"/>
        <w:overflowPunct w:val="0"/>
        <w:autoSpaceDE/>
        <w:autoSpaceDN/>
        <w:spacing w:line="440" w:lineRule="exact"/>
        <w:ind w:left="0" w:firstLine="480" w:firstLineChars="200"/>
        <w:rPr>
          <w:rFonts w:ascii="宋体" w:hAnsi="宋体" w:cs="宋体"/>
          <w:szCs w:val="24"/>
        </w:rPr>
      </w:pPr>
      <w:r>
        <w:rPr>
          <w:rFonts w:hint="eastAsia" w:ascii="宋体" w:hAnsi="宋体" w:cs="宋体"/>
          <w:szCs w:val="24"/>
        </w:rPr>
        <w:t>3.2 公示结束，招标人以书面形式向中标人发出《中标通知书》，中标人应以书面形式回复，确认收到。</w:t>
      </w:r>
    </w:p>
    <w:p>
      <w:pPr>
        <w:pStyle w:val="8"/>
        <w:overflowPunct w:val="0"/>
        <w:autoSpaceDE/>
        <w:autoSpaceDN/>
        <w:spacing w:line="440" w:lineRule="exact"/>
        <w:ind w:left="0" w:firstLine="480" w:firstLineChars="200"/>
        <w:rPr>
          <w:rFonts w:ascii="宋体" w:hAnsi="宋体" w:cs="宋体"/>
          <w:szCs w:val="24"/>
        </w:rPr>
      </w:pPr>
      <w:r>
        <w:rPr>
          <w:rFonts w:hint="eastAsia" w:ascii="宋体" w:hAnsi="宋体" w:cs="宋体"/>
          <w:szCs w:val="24"/>
        </w:rPr>
        <w:t>3.3 《中标通知书》是合同的一个组成部分，对招标人和中标人具有同等法律效力；《中标通知书》发出后，招标人改变中标结果，或者中标人放弃中标的，均应承担相应的法律责任。</w:t>
      </w:r>
    </w:p>
    <w:p>
      <w:pPr>
        <w:pStyle w:val="8"/>
        <w:overflowPunct w:val="0"/>
        <w:autoSpaceDE/>
        <w:autoSpaceDN/>
        <w:spacing w:line="440" w:lineRule="exact"/>
        <w:ind w:left="0" w:firstLine="482" w:firstLineChars="200"/>
        <w:rPr>
          <w:rFonts w:ascii="宋体" w:hAnsi="宋体" w:cs="宋体"/>
          <w:b/>
          <w:bCs/>
          <w:szCs w:val="24"/>
        </w:rPr>
      </w:pPr>
      <w:r>
        <w:rPr>
          <w:rFonts w:hint="eastAsia" w:ascii="宋体" w:hAnsi="宋体" w:cs="宋体"/>
          <w:b/>
          <w:bCs/>
          <w:szCs w:val="24"/>
        </w:rPr>
        <w:t>（五）招标失败的情况</w:t>
      </w:r>
    </w:p>
    <w:p>
      <w:pPr>
        <w:pStyle w:val="8"/>
        <w:overflowPunct w:val="0"/>
        <w:autoSpaceDE/>
        <w:autoSpaceDN/>
        <w:spacing w:line="440" w:lineRule="exact"/>
        <w:ind w:left="0" w:firstLine="480" w:firstLineChars="200"/>
        <w:rPr>
          <w:rFonts w:ascii="宋体" w:hAnsi="宋体" w:cs="宋体"/>
          <w:szCs w:val="24"/>
        </w:rPr>
      </w:pPr>
      <w:r>
        <w:rPr>
          <w:rFonts w:hint="eastAsia" w:ascii="宋体" w:hAnsi="宋体" w:cs="宋体"/>
          <w:szCs w:val="24"/>
        </w:rPr>
        <w:t>本项目在招标时出现投标人或者合格投标人不足三家的情况，本次招标失败。</w:t>
      </w:r>
    </w:p>
    <w:p>
      <w:pPr>
        <w:wordWrap w:val="0"/>
        <w:overflowPunct w:val="0"/>
        <w:spacing w:line="440" w:lineRule="exact"/>
        <w:ind w:firstLine="482" w:firstLineChars="200"/>
        <w:rPr>
          <w:rFonts w:ascii="宋体" w:hAnsi="宋体" w:cs="宋体"/>
          <w:b/>
          <w:sz w:val="24"/>
        </w:rPr>
        <w:sectPr>
          <w:headerReference r:id="rId7" w:type="default"/>
          <w:footerReference r:id="rId8" w:type="default"/>
          <w:footerReference r:id="rId9" w:type="even"/>
          <w:pgSz w:w="11906" w:h="16838"/>
          <w:pgMar w:top="1418" w:right="1134" w:bottom="1418" w:left="1247" w:header="737" w:footer="992" w:gutter="0"/>
          <w:pgNumType w:start="1"/>
          <w:cols w:space="720" w:num="1"/>
          <w:docGrid w:linePitch="312" w:charSpace="0"/>
        </w:sectPr>
      </w:pPr>
    </w:p>
    <w:p>
      <w:pPr>
        <w:spacing w:line="360" w:lineRule="auto"/>
        <w:jc w:val="left"/>
        <w:rPr>
          <w:rFonts w:ascii="宋体" w:hAnsi="宋体" w:cs="宋体"/>
          <w:b/>
          <w:szCs w:val="21"/>
        </w:rPr>
      </w:pPr>
      <w:bookmarkStart w:id="50" w:name="_Toc223856295"/>
      <w:r>
        <w:rPr>
          <w:rFonts w:hint="eastAsia" w:ascii="宋体" w:hAnsi="宋体" w:cs="宋体"/>
          <w:b/>
          <w:szCs w:val="21"/>
        </w:rPr>
        <w:t>附表一</w:t>
      </w:r>
    </w:p>
    <w:p>
      <w:pPr>
        <w:spacing w:line="360" w:lineRule="auto"/>
        <w:jc w:val="center"/>
        <w:rPr>
          <w:rFonts w:ascii="宋体" w:hAnsi="宋体" w:cs="宋体"/>
          <w:b/>
          <w:sz w:val="28"/>
          <w:szCs w:val="28"/>
        </w:rPr>
      </w:pPr>
      <w:r>
        <w:rPr>
          <w:rFonts w:hint="eastAsia" w:ascii="宋体" w:hAnsi="宋体" w:cs="宋体"/>
          <w:b/>
          <w:sz w:val="28"/>
          <w:szCs w:val="28"/>
        </w:rPr>
        <w:t>资格性和符合性审查表</w:t>
      </w:r>
    </w:p>
    <w:tbl>
      <w:tblPr>
        <w:tblStyle w:val="68"/>
        <w:tblW w:w="9369" w:type="dxa"/>
        <w:tblInd w:w="-7"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
      <w:tblGrid>
        <w:gridCol w:w="1308"/>
        <w:gridCol w:w="806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164" w:hRule="atLeast"/>
        </w:trPr>
        <w:tc>
          <w:tcPr>
            <w:tcW w:w="130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120" w:beforeLines="50" w:after="120" w:afterLines="50"/>
              <w:jc w:val="center"/>
              <w:rPr>
                <w:rFonts w:ascii="宋体" w:hAnsi="宋体" w:cs="宋体"/>
                <w:szCs w:val="21"/>
              </w:rPr>
            </w:pPr>
            <w:r>
              <w:rPr>
                <w:rStyle w:val="71"/>
                <w:rFonts w:hint="eastAsia" w:ascii="宋体" w:hAnsi="宋体" w:cs="宋体"/>
                <w:sz w:val="21"/>
                <w:szCs w:val="21"/>
              </w:rPr>
              <w:t>审查项目</w:t>
            </w:r>
          </w:p>
        </w:tc>
        <w:tc>
          <w:tcPr>
            <w:tcW w:w="806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120" w:beforeLines="50" w:after="120" w:afterLines="50"/>
              <w:jc w:val="center"/>
              <w:rPr>
                <w:rFonts w:ascii="宋体" w:hAnsi="宋体" w:cs="宋体"/>
                <w:szCs w:val="21"/>
              </w:rPr>
            </w:pPr>
            <w:r>
              <w:rPr>
                <w:rStyle w:val="71"/>
                <w:rFonts w:hint="eastAsia" w:ascii="宋体" w:hAnsi="宋体" w:cs="宋体"/>
                <w:sz w:val="21"/>
                <w:szCs w:val="21"/>
              </w:rPr>
              <w:t>要求</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440" w:hRule="atLeast"/>
        </w:trPr>
        <w:tc>
          <w:tcPr>
            <w:tcW w:w="1308" w:type="dxa"/>
            <w:tcBorders>
              <w:top w:val="outset" w:color="111111" w:sz="6" w:space="0"/>
              <w:left w:val="outset" w:color="111111" w:sz="6" w:space="0"/>
              <w:bottom w:val="outset" w:color="111111" w:sz="6" w:space="0"/>
              <w:right w:val="outset" w:color="111111" w:sz="6" w:space="0"/>
            </w:tcBorders>
            <w:vAlign w:val="center"/>
          </w:tcPr>
          <w:p>
            <w:pPr>
              <w:pStyle w:val="62"/>
              <w:adjustRightInd w:val="0"/>
              <w:snapToGrid w:val="0"/>
              <w:spacing w:before="120" w:beforeLines="50" w:beforeAutospacing="0" w:after="120" w:afterLines="50" w:afterAutospacing="0"/>
              <w:jc w:val="center"/>
              <w:rPr>
                <w:rFonts w:cs="宋体"/>
                <w:kern w:val="2"/>
                <w:sz w:val="21"/>
                <w:szCs w:val="21"/>
              </w:rPr>
            </w:pPr>
            <w:r>
              <w:rPr>
                <w:rFonts w:hint="eastAsia" w:cs="宋体"/>
                <w:kern w:val="2"/>
                <w:sz w:val="21"/>
                <w:szCs w:val="21"/>
              </w:rPr>
              <w:t>资格性审查</w:t>
            </w:r>
          </w:p>
        </w:tc>
        <w:tc>
          <w:tcPr>
            <w:tcW w:w="8061" w:type="dxa"/>
            <w:vAlign w:val="center"/>
          </w:tcPr>
          <w:p>
            <w:pPr>
              <w:adjustRightInd w:val="0"/>
              <w:snapToGrid w:val="0"/>
              <w:spacing w:before="120" w:beforeLines="50" w:after="120" w:afterLines="50"/>
              <w:rPr>
                <w:rFonts w:ascii="宋体" w:hAnsi="宋体" w:cs="宋体"/>
                <w:szCs w:val="21"/>
              </w:rPr>
            </w:pPr>
            <w:r>
              <w:rPr>
                <w:rFonts w:hint="eastAsia" w:ascii="宋体" w:hAnsi="宋体" w:cs="宋体"/>
                <w:szCs w:val="21"/>
              </w:rPr>
              <w:t>（与公告中响应人资格要求一致）</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9369" w:type="dxa"/>
            <w:gridSpan w:val="2"/>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120" w:beforeLines="50" w:after="120" w:afterLines="50"/>
              <w:jc w:val="center"/>
              <w:rPr>
                <w:rFonts w:ascii="宋体" w:hAnsi="宋体" w:cs="宋体"/>
                <w:szCs w:val="21"/>
              </w:rPr>
            </w:pPr>
            <w:r>
              <w:rPr>
                <w:rFonts w:hint="eastAsia" w:ascii="宋体" w:hAnsi="宋体" w:cs="宋体"/>
                <w:szCs w:val="21"/>
              </w:rPr>
              <w:t>不能通过资格性审查的响应人，不需进行以下内容的审查。</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723" w:hRule="atLeast"/>
        </w:trPr>
        <w:tc>
          <w:tcPr>
            <w:tcW w:w="1308" w:type="dxa"/>
            <w:vMerge w:val="restart"/>
            <w:tcBorders>
              <w:left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p>
        </w:tc>
        <w:tc>
          <w:tcPr>
            <w:tcW w:w="806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r>
              <w:rPr>
                <w:rFonts w:hint="eastAsia" w:ascii="宋体" w:hAnsi="宋体" w:cs="宋体"/>
                <w:szCs w:val="21"/>
              </w:rPr>
              <w:t>1.投标文件完整且编排有序，投标内容基本完整，无重大错漏，并按要求密封、签署、盖章。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65" w:hRule="atLeast"/>
        </w:trPr>
        <w:tc>
          <w:tcPr>
            <w:tcW w:w="1308" w:type="dxa"/>
            <w:vMerge w:val="continue"/>
            <w:tcBorders>
              <w:left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p>
        </w:tc>
        <w:tc>
          <w:tcPr>
            <w:tcW w:w="806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r>
              <w:rPr>
                <w:rFonts w:hint="eastAsia" w:ascii="宋体" w:hAnsi="宋体" w:cs="宋体"/>
                <w:szCs w:val="21"/>
              </w:rPr>
              <w:t>2.投标书封袋按招标文件规定封装，封口处须加盖投标单位公章。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308" w:type="dxa"/>
            <w:vMerge w:val="continue"/>
            <w:tcBorders>
              <w:left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p>
        </w:tc>
        <w:tc>
          <w:tcPr>
            <w:tcW w:w="806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r>
              <w:rPr>
                <w:rFonts w:hint="eastAsia" w:ascii="宋体" w:hAnsi="宋体" w:cs="宋体"/>
                <w:szCs w:val="21"/>
              </w:rPr>
              <w:t>3.技术部分内投标人法定代表人证明书，若法定代表人委托他人办理且同时附上法定代表人授权委托证明书。</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144" w:hRule="atLeast"/>
        </w:trPr>
        <w:tc>
          <w:tcPr>
            <w:tcW w:w="1308" w:type="dxa"/>
            <w:vMerge w:val="continue"/>
            <w:tcBorders>
              <w:left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p>
        </w:tc>
        <w:tc>
          <w:tcPr>
            <w:tcW w:w="806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r>
              <w:rPr>
                <w:rFonts w:hint="eastAsia" w:ascii="宋体" w:hAnsi="宋体" w:cs="宋体"/>
                <w:szCs w:val="21"/>
              </w:rPr>
              <w:t>4.经济标书的投标价封面及报价页面须按照招标文件规定要求签名和盖章，须投标单位法定代表人或其授权委托人的签名或盖章。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1308" w:type="dxa"/>
            <w:vMerge w:val="continue"/>
            <w:tcBorders>
              <w:left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p>
        </w:tc>
        <w:tc>
          <w:tcPr>
            <w:tcW w:w="806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r>
              <w:rPr>
                <w:rFonts w:hint="eastAsia" w:ascii="宋体" w:hAnsi="宋体" w:cs="宋体"/>
                <w:szCs w:val="21"/>
              </w:rPr>
              <w:t>5.投标文件的关键性内容书写清楚明了，字迹清楚；正、副本标书统一的主要内容（主要内容指合同要求的关于价格、工期、质量标准、数量、违约责任五大责任的强制性要求内容）须一致。</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308" w:type="dxa"/>
            <w:vMerge w:val="continue"/>
            <w:tcBorders>
              <w:left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p>
        </w:tc>
        <w:tc>
          <w:tcPr>
            <w:tcW w:w="806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r>
              <w:rPr>
                <w:rFonts w:hint="eastAsia" w:ascii="宋体" w:hAnsi="宋体" w:cs="宋体"/>
                <w:szCs w:val="21"/>
              </w:rPr>
              <w:t>6.投标文件的关键性内容（关键性内容指招标文件中明确提出的材料规定、工期、质量标准、保修承诺、结算方式、符合本项目特征的施工组织方案和工程技术要点等的文字表述）与招标文件、招标答疑纪要文件等招标要求相符；对标的工程的关键、主要项目完全响应无漏项；对保证工程按期交付使用的竣工资料和技术资料的移交、保证工程施工全过程造价文件及结算文件及时提交、工程资料归档（移交校档案馆）的保证措施符合建设要求进行实质性响应。</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1329" w:hRule="atLeast"/>
        </w:trPr>
        <w:tc>
          <w:tcPr>
            <w:tcW w:w="1308" w:type="dxa"/>
            <w:vMerge w:val="continue"/>
            <w:tcBorders>
              <w:left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p>
        </w:tc>
        <w:tc>
          <w:tcPr>
            <w:tcW w:w="806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r>
              <w:rPr>
                <w:rFonts w:hint="eastAsia" w:ascii="宋体" w:hAnsi="宋体" w:cs="宋体"/>
                <w:szCs w:val="21"/>
              </w:rPr>
              <w:t>7.投标总金额是固定价且是唯一的，投标总金额超过最高报价值（即投标限价）的投标文件视为无效标书。如投标人报价金额低于投标限价最高报价值的80%，必须提供说明及相关材料分析表，如不作说明或不提供，均可视为低于成本响应，评标小组有权当无效报价处理（详细要求见“招标文件”第二条相关要求说明）。</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c>
          <w:tcPr>
            <w:tcW w:w="1308" w:type="dxa"/>
            <w:vMerge w:val="continue"/>
            <w:tcBorders>
              <w:left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p>
        </w:tc>
        <w:tc>
          <w:tcPr>
            <w:tcW w:w="806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r>
              <w:rPr>
                <w:rFonts w:hint="eastAsia" w:ascii="宋体" w:hAnsi="宋体" w:cs="宋体"/>
                <w:szCs w:val="21"/>
              </w:rPr>
              <w:t>8.</w:t>
            </w:r>
            <w:r>
              <w:rPr>
                <w:rFonts w:hint="eastAsia" w:ascii="宋体" w:hAnsi="宋体" w:cs="宋体"/>
                <w:bCs/>
                <w:sz w:val="24"/>
              </w:rPr>
              <w:t xml:space="preserve"> </w:t>
            </w:r>
            <w:r>
              <w:rPr>
                <w:rFonts w:hint="eastAsia" w:ascii="宋体" w:hAnsi="宋体" w:cs="宋体"/>
                <w:szCs w:val="21"/>
              </w:rPr>
              <w:t>经济标书的报价文件必须由具有造价资质的造价人员编制并签名和加盖资质章，编制人与复核人应是两个不同的造价人员。编制人需为全国建设工程造价员、一级注册造价工程师或二级注册造价工程师；复核人需为一级注册造价工程师。技术标书里须提供编制和复核造价人员的资格及注册证书复印件，且由本人亲笔签名并加盖公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280" w:hRule="atLeast"/>
        </w:trPr>
        <w:tc>
          <w:tcPr>
            <w:tcW w:w="1308" w:type="dxa"/>
            <w:vMerge w:val="continue"/>
            <w:tcBorders>
              <w:left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p>
        </w:tc>
        <w:tc>
          <w:tcPr>
            <w:tcW w:w="806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r>
              <w:rPr>
                <w:rFonts w:hint="eastAsia" w:ascii="宋体" w:hAnsi="宋体" w:cs="宋体"/>
                <w:szCs w:val="21"/>
              </w:rPr>
              <w:t>9.投标有效期为投标截止日起60天。</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0" w:type="dxa"/>
            <w:left w:w="0" w:type="dxa"/>
            <w:bottom w:w="0" w:type="dxa"/>
            <w:right w:w="0" w:type="dxa"/>
          </w:tblCellMar>
        </w:tblPrEx>
        <w:trPr>
          <w:trHeight w:val="259" w:hRule="atLeast"/>
        </w:trPr>
        <w:tc>
          <w:tcPr>
            <w:tcW w:w="1308" w:type="dxa"/>
            <w:vMerge w:val="continue"/>
            <w:tcBorders>
              <w:left w:val="outset" w:color="111111" w:sz="6" w:space="0"/>
              <w:bottom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p>
        </w:tc>
        <w:tc>
          <w:tcPr>
            <w:tcW w:w="806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before="120" w:beforeLines="50" w:after="120" w:afterLines="50"/>
              <w:rPr>
                <w:rFonts w:ascii="宋体" w:hAnsi="宋体" w:cs="宋体"/>
                <w:szCs w:val="21"/>
              </w:rPr>
            </w:pPr>
            <w:r>
              <w:rPr>
                <w:rFonts w:hint="eastAsia" w:ascii="宋体" w:hAnsi="宋体" w:cs="宋体"/>
                <w:szCs w:val="21"/>
              </w:rPr>
              <w:t>10.没有其他未实质性响应文件要求的。</w:t>
            </w:r>
          </w:p>
        </w:tc>
      </w:tr>
    </w:tbl>
    <w:p>
      <w:pPr>
        <w:adjustRightInd w:val="0"/>
        <w:snapToGrid w:val="0"/>
        <w:spacing w:line="320" w:lineRule="exact"/>
        <w:ind w:left="288" w:hanging="287" w:hangingChars="137"/>
        <w:rPr>
          <w:rFonts w:ascii="宋体" w:hAnsi="宋体" w:cs="宋体"/>
          <w:szCs w:val="21"/>
        </w:rPr>
      </w:pPr>
      <w:r>
        <w:rPr>
          <w:rFonts w:hint="eastAsia" w:ascii="宋体" w:hAnsi="宋体" w:cs="宋体"/>
          <w:szCs w:val="21"/>
        </w:rPr>
        <w:t>注：1. 每一项符合的打“√”，不符合的打“×”。</w:t>
      </w:r>
    </w:p>
    <w:p>
      <w:pPr>
        <w:adjustRightInd w:val="0"/>
        <w:snapToGrid w:val="0"/>
        <w:spacing w:line="320" w:lineRule="exact"/>
        <w:ind w:firstLine="420" w:firstLineChars="200"/>
        <w:rPr>
          <w:rFonts w:ascii="宋体" w:hAnsi="宋体" w:cs="宋体"/>
          <w:szCs w:val="21"/>
        </w:rPr>
      </w:pPr>
      <w:r>
        <w:rPr>
          <w:rFonts w:hint="eastAsia" w:ascii="宋体" w:hAnsi="宋体" w:cs="宋体"/>
          <w:szCs w:val="21"/>
        </w:rPr>
        <w:t>2. “结论”一栏填写“通过”或“不通过”；任何一项出现“×”的，结论为不通过；不通过的为无效投标。</w:t>
      </w:r>
    </w:p>
    <w:p>
      <w:pPr>
        <w:adjustRightInd w:val="0"/>
        <w:snapToGrid w:val="0"/>
        <w:spacing w:line="320" w:lineRule="exact"/>
        <w:ind w:firstLine="420" w:firstLineChars="200"/>
        <w:rPr>
          <w:rFonts w:ascii="宋体" w:hAnsi="宋体" w:cs="宋体"/>
          <w:szCs w:val="21"/>
        </w:rPr>
      </w:pPr>
      <w:r>
        <w:rPr>
          <w:rFonts w:hint="eastAsia" w:ascii="宋体" w:hAnsi="宋体" w:cs="宋体"/>
          <w:szCs w:val="21"/>
        </w:rPr>
        <w:t>3. 汇总时出现不同意见的，评委会按简单多数原则表决决定。</w:t>
      </w:r>
    </w:p>
    <w:p>
      <w:pPr>
        <w:adjustRightInd w:val="0"/>
        <w:snapToGrid w:val="0"/>
        <w:spacing w:line="320" w:lineRule="exact"/>
        <w:ind w:firstLine="420" w:firstLineChars="200"/>
        <w:rPr>
          <w:rFonts w:ascii="宋体" w:hAnsi="宋体" w:cs="宋体"/>
          <w:szCs w:val="21"/>
        </w:rPr>
      </w:pPr>
      <w:r>
        <w:rPr>
          <w:rFonts w:hint="eastAsia" w:ascii="宋体" w:hAnsi="宋体" w:cs="宋体"/>
          <w:szCs w:val="21"/>
        </w:rPr>
        <w:t>4. 如果评标委员会发现响应人的响应明显低于其他投标响应，使得其投标响应可能低于其个别成本的，将要求该响应人作书面说明并提供相关证明材料。</w:t>
      </w:r>
      <w:bookmarkEnd w:id="50"/>
      <w:bookmarkStart w:id="51" w:name="_Toc339544889"/>
    </w:p>
    <w:p>
      <w:pPr>
        <w:pStyle w:val="3"/>
        <w:spacing w:after="120"/>
        <w:ind w:left="0" w:leftChars="0" w:firstLine="482"/>
        <w:rPr>
          <w:rFonts w:ascii="宋体" w:hAnsi="宋体" w:cs="宋体"/>
          <w:sz w:val="24"/>
          <w:szCs w:val="24"/>
          <w:highlight w:val="none"/>
        </w:rPr>
      </w:pPr>
      <w:bookmarkStart w:id="52" w:name="_Toc61511591"/>
      <w:bookmarkStart w:id="53" w:name="_Toc136009914"/>
      <w:r>
        <w:rPr>
          <w:rFonts w:hint="eastAsia" w:ascii="宋体" w:hAnsi="宋体" w:cs="宋体"/>
          <w:sz w:val="24"/>
          <w:szCs w:val="24"/>
        </w:rPr>
        <w:t>十四、</w:t>
      </w:r>
      <w:bookmarkEnd w:id="51"/>
      <w:r>
        <w:rPr>
          <w:rFonts w:hint="eastAsia" w:ascii="宋体" w:hAnsi="宋体" w:cs="宋体"/>
          <w:sz w:val="24"/>
          <w:szCs w:val="24"/>
        </w:rPr>
        <w:t>评审时间</w:t>
      </w:r>
      <w:bookmarkEnd w:id="52"/>
      <w:bookmarkEnd w:id="53"/>
    </w:p>
    <w:p>
      <w:pPr>
        <w:spacing w:line="400" w:lineRule="exact"/>
        <w:jc w:val="center"/>
        <w:rPr>
          <w:rFonts w:ascii="宋体" w:hAnsi="宋体" w:cs="宋体"/>
          <w:b/>
          <w:bCs/>
          <w:sz w:val="28"/>
          <w:szCs w:val="28"/>
          <w:highlight w:val="none"/>
        </w:rPr>
      </w:pPr>
      <w:r>
        <w:rPr>
          <w:rFonts w:hint="eastAsia" w:ascii="宋体" w:hAnsi="宋体" w:cs="宋体"/>
          <w:b/>
          <w:bCs/>
          <w:sz w:val="28"/>
          <w:szCs w:val="28"/>
          <w:highlight w:val="none"/>
        </w:rPr>
        <w:t>评审活动时间安排表</w:t>
      </w:r>
    </w:p>
    <w:p>
      <w:pPr>
        <w:spacing w:line="400" w:lineRule="exact"/>
        <w:ind w:right="90" w:firstLine="680"/>
        <w:jc w:val="right"/>
        <w:rPr>
          <w:rFonts w:ascii="宋体" w:hAnsi="宋体" w:cs="宋体"/>
          <w:szCs w:val="21"/>
          <w:highlight w:val="none"/>
        </w:rPr>
      </w:pPr>
      <w:r>
        <w:rPr>
          <w:rFonts w:hint="eastAsia" w:ascii="宋体" w:hAnsi="宋体" w:cs="宋体"/>
          <w:szCs w:val="21"/>
          <w:highlight w:val="none"/>
        </w:rPr>
        <w:t>制表日期：202</w:t>
      </w:r>
      <w:r>
        <w:rPr>
          <w:rFonts w:hint="eastAsia" w:ascii="宋体" w:hAnsi="宋体" w:cs="宋体"/>
          <w:szCs w:val="21"/>
          <w:highlight w:val="none"/>
          <w:lang w:val="en-US" w:eastAsia="zh-CN"/>
        </w:rPr>
        <w:t>4</w:t>
      </w:r>
      <w:r>
        <w:rPr>
          <w:rFonts w:hint="eastAsia" w:ascii="宋体" w:hAnsi="宋体" w:cs="宋体"/>
          <w:szCs w:val="21"/>
          <w:highlight w:val="none"/>
        </w:rPr>
        <w:t>年</w:t>
      </w:r>
      <w:r>
        <w:rPr>
          <w:rFonts w:hint="eastAsia" w:ascii="宋体" w:hAnsi="宋体" w:cs="宋体"/>
          <w:szCs w:val="21"/>
          <w:highlight w:val="none"/>
          <w:lang w:val="en-US" w:eastAsia="zh-CN"/>
        </w:rPr>
        <w:t>4</w:t>
      </w:r>
      <w:r>
        <w:rPr>
          <w:rFonts w:hint="eastAsia" w:ascii="宋体" w:hAnsi="宋体" w:cs="宋体"/>
          <w:szCs w:val="21"/>
          <w:highlight w:val="none"/>
        </w:rPr>
        <w:t>月</w:t>
      </w:r>
    </w:p>
    <w:tbl>
      <w:tblPr>
        <w:tblStyle w:val="6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3830"/>
        <w:gridCol w:w="1307"/>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2180" w:type="dxa"/>
            <w:vAlign w:val="center"/>
          </w:tcPr>
          <w:p>
            <w:pPr>
              <w:spacing w:line="400" w:lineRule="exact"/>
              <w:jc w:val="center"/>
              <w:rPr>
                <w:rFonts w:ascii="宋体" w:hAnsi="宋体" w:cs="宋体"/>
                <w:bCs/>
                <w:sz w:val="24"/>
                <w:highlight w:val="none"/>
              </w:rPr>
            </w:pPr>
            <w:r>
              <w:rPr>
                <w:rFonts w:hint="eastAsia" w:ascii="宋体" w:hAnsi="宋体" w:cs="宋体"/>
                <w:bCs/>
                <w:sz w:val="24"/>
                <w:highlight w:val="none"/>
              </w:rPr>
              <w:t>项目名称</w:t>
            </w:r>
          </w:p>
        </w:tc>
        <w:tc>
          <w:tcPr>
            <w:tcW w:w="3830" w:type="dxa"/>
            <w:vAlign w:val="center"/>
          </w:tcPr>
          <w:p>
            <w:pPr>
              <w:adjustRightInd w:val="0"/>
              <w:snapToGrid w:val="0"/>
              <w:spacing w:line="300" w:lineRule="auto"/>
              <w:jc w:val="center"/>
              <w:rPr>
                <w:rFonts w:hint="eastAsia" w:ascii="宋体" w:hAnsi="宋体" w:eastAsia="宋体" w:cs="宋体"/>
                <w:kern w:val="0"/>
                <w:szCs w:val="21"/>
                <w:highlight w:val="none"/>
                <w:lang w:eastAsia="zh-CN"/>
              </w:rPr>
            </w:pPr>
            <w:r>
              <w:rPr>
                <w:rFonts w:hint="eastAsia" w:ascii="宋体" w:hAnsi="宋体" w:cs="宋体"/>
                <w:sz w:val="24"/>
                <w:highlight w:val="none"/>
                <w:lang w:eastAsia="zh-CN"/>
              </w:rPr>
              <w:t>白云山校区国际学院公共区域局部修缮项目</w:t>
            </w:r>
          </w:p>
        </w:tc>
        <w:tc>
          <w:tcPr>
            <w:tcW w:w="1307" w:type="dxa"/>
            <w:vAlign w:val="center"/>
          </w:tcPr>
          <w:p>
            <w:pPr>
              <w:spacing w:line="400" w:lineRule="exact"/>
              <w:jc w:val="center"/>
              <w:rPr>
                <w:rFonts w:ascii="宋体" w:hAnsi="宋体" w:cs="宋体"/>
                <w:bCs/>
                <w:sz w:val="24"/>
                <w:highlight w:val="none"/>
              </w:rPr>
            </w:pPr>
            <w:r>
              <w:rPr>
                <w:rFonts w:hint="eastAsia" w:ascii="宋体" w:hAnsi="宋体" w:cs="宋体"/>
                <w:bCs/>
                <w:sz w:val="24"/>
                <w:highlight w:val="none"/>
              </w:rPr>
              <w:t>联系人</w:t>
            </w:r>
          </w:p>
        </w:tc>
        <w:tc>
          <w:tcPr>
            <w:tcW w:w="2254"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周老师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180" w:type="dxa"/>
            <w:vAlign w:val="center"/>
          </w:tcPr>
          <w:p>
            <w:pPr>
              <w:spacing w:line="400" w:lineRule="exact"/>
              <w:jc w:val="center"/>
              <w:rPr>
                <w:rFonts w:ascii="宋体" w:hAnsi="宋体" w:cs="宋体"/>
                <w:bCs/>
                <w:sz w:val="24"/>
                <w:highlight w:val="none"/>
              </w:rPr>
            </w:pPr>
            <w:r>
              <w:rPr>
                <w:rFonts w:hint="eastAsia" w:ascii="宋体" w:hAnsi="宋体" w:cs="宋体"/>
                <w:bCs/>
                <w:sz w:val="24"/>
                <w:highlight w:val="none"/>
              </w:rPr>
              <w:t>建设单位</w:t>
            </w:r>
          </w:p>
        </w:tc>
        <w:tc>
          <w:tcPr>
            <w:tcW w:w="3830"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广东外语外贸大学</w:t>
            </w:r>
          </w:p>
        </w:tc>
        <w:tc>
          <w:tcPr>
            <w:tcW w:w="1307" w:type="dxa"/>
            <w:vAlign w:val="center"/>
          </w:tcPr>
          <w:p>
            <w:pPr>
              <w:spacing w:line="400" w:lineRule="exact"/>
              <w:jc w:val="center"/>
              <w:rPr>
                <w:rFonts w:ascii="宋体" w:hAnsi="宋体" w:cs="宋体"/>
                <w:bCs/>
                <w:sz w:val="24"/>
                <w:highlight w:val="none"/>
              </w:rPr>
            </w:pPr>
            <w:r>
              <w:rPr>
                <w:rFonts w:hint="eastAsia" w:ascii="宋体" w:hAnsi="宋体" w:cs="宋体"/>
                <w:bCs/>
                <w:sz w:val="24"/>
                <w:highlight w:val="none"/>
              </w:rPr>
              <w:t>电  话</w:t>
            </w:r>
          </w:p>
        </w:tc>
        <w:tc>
          <w:tcPr>
            <w:tcW w:w="2254"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020-36207135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180" w:type="dxa"/>
            <w:vAlign w:val="center"/>
          </w:tcPr>
          <w:p>
            <w:pPr>
              <w:spacing w:line="400" w:lineRule="exact"/>
              <w:ind w:firstLine="680"/>
              <w:rPr>
                <w:rFonts w:ascii="宋体" w:hAnsi="宋体" w:cs="宋体"/>
                <w:bCs/>
                <w:sz w:val="24"/>
                <w:highlight w:val="none"/>
              </w:rPr>
            </w:pPr>
            <w:r>
              <w:rPr>
                <w:rFonts w:hint="eastAsia" w:ascii="宋体" w:hAnsi="宋体" w:cs="宋体"/>
                <w:bCs/>
                <w:sz w:val="24"/>
                <w:highlight w:val="none"/>
              </w:rPr>
              <w:t>程   序</w:t>
            </w:r>
          </w:p>
        </w:tc>
        <w:tc>
          <w:tcPr>
            <w:tcW w:w="5137" w:type="dxa"/>
            <w:gridSpan w:val="2"/>
            <w:vAlign w:val="center"/>
          </w:tcPr>
          <w:p>
            <w:pPr>
              <w:spacing w:line="400" w:lineRule="exact"/>
              <w:ind w:firstLine="1500" w:firstLineChars="625"/>
              <w:rPr>
                <w:rFonts w:ascii="宋体" w:hAnsi="宋体" w:cs="宋体"/>
                <w:bCs/>
                <w:sz w:val="24"/>
                <w:highlight w:val="none"/>
              </w:rPr>
            </w:pPr>
            <w:r>
              <w:rPr>
                <w:rFonts w:hint="eastAsia" w:ascii="宋体" w:hAnsi="宋体" w:cs="宋体"/>
                <w:bCs/>
                <w:sz w:val="24"/>
                <w:highlight w:val="none"/>
              </w:rPr>
              <w:t>计  划  时  间</w:t>
            </w:r>
          </w:p>
        </w:tc>
        <w:tc>
          <w:tcPr>
            <w:tcW w:w="2254" w:type="dxa"/>
            <w:vAlign w:val="center"/>
          </w:tcPr>
          <w:p>
            <w:pPr>
              <w:spacing w:line="400" w:lineRule="exact"/>
              <w:jc w:val="center"/>
              <w:rPr>
                <w:rFonts w:ascii="宋体" w:hAnsi="宋体" w:cs="宋体"/>
                <w:bCs/>
                <w:sz w:val="24"/>
                <w:highlight w:val="none"/>
              </w:rPr>
            </w:pPr>
            <w:r>
              <w:rPr>
                <w:rFonts w:hint="eastAsia" w:ascii="宋体" w:hAnsi="宋体" w:cs="宋体"/>
                <w:bCs/>
                <w:sz w:val="24"/>
                <w:highlight w:val="none"/>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0" w:type="dxa"/>
            <w:vAlign w:val="center"/>
          </w:tcPr>
          <w:p>
            <w:pPr>
              <w:spacing w:line="400" w:lineRule="exact"/>
              <w:jc w:val="center"/>
              <w:rPr>
                <w:rFonts w:ascii="宋体" w:hAnsi="宋体" w:cs="宋体"/>
                <w:kern w:val="0"/>
                <w:sz w:val="24"/>
                <w:highlight w:val="none"/>
              </w:rPr>
            </w:pPr>
            <w:r>
              <w:rPr>
                <w:rFonts w:hint="eastAsia" w:ascii="宋体" w:hAnsi="宋体" w:cs="宋体"/>
                <w:kern w:val="0"/>
                <w:sz w:val="24"/>
                <w:highlight w:val="none"/>
              </w:rPr>
              <w:t>现场勘察</w:t>
            </w:r>
          </w:p>
        </w:tc>
        <w:tc>
          <w:tcPr>
            <w:tcW w:w="5137" w:type="dxa"/>
            <w:gridSpan w:val="2"/>
            <w:vAlign w:val="center"/>
          </w:tcPr>
          <w:p>
            <w:pPr>
              <w:spacing w:line="400" w:lineRule="exact"/>
              <w:ind w:firstLine="240" w:firstLineChars="100"/>
              <w:rPr>
                <w:rFonts w:ascii="宋体" w:hAnsi="宋体" w:cs="宋体"/>
                <w:sz w:val="24"/>
                <w:highlight w:val="none"/>
              </w:rPr>
            </w:pPr>
            <w:r>
              <w:rPr>
                <w:rFonts w:hint="eastAsia" w:ascii="宋体" w:hAnsi="宋体" w:cs="宋体"/>
                <w:sz w:val="24"/>
                <w:highlight w:val="none"/>
              </w:rPr>
              <w:t>自行勘察（工作日8:30时至17:00时）</w:t>
            </w:r>
          </w:p>
          <w:p>
            <w:pPr>
              <w:spacing w:line="400" w:lineRule="exact"/>
              <w:ind w:left="258" w:leftChars="123"/>
              <w:rPr>
                <w:rFonts w:ascii="宋体" w:hAnsi="宋体" w:cs="宋体"/>
                <w:sz w:val="24"/>
                <w:highlight w:val="none"/>
              </w:rPr>
            </w:pPr>
            <w:r>
              <w:rPr>
                <w:rFonts w:hint="eastAsia" w:ascii="宋体" w:hAnsi="宋体" w:cs="宋体"/>
                <w:sz w:val="24"/>
                <w:highlight w:val="none"/>
              </w:rPr>
              <w:t>联系人：李老师    联系电话：36207074，</w:t>
            </w:r>
          </w:p>
          <w:p>
            <w:pPr>
              <w:spacing w:line="400" w:lineRule="exact"/>
              <w:ind w:left="258" w:leftChars="123"/>
              <w:rPr>
                <w:rFonts w:ascii="宋体" w:hAnsi="宋体" w:cs="宋体"/>
                <w:sz w:val="24"/>
                <w:highlight w:val="none"/>
              </w:rPr>
            </w:pPr>
            <w:r>
              <w:rPr>
                <w:rFonts w:hint="eastAsia" w:ascii="宋体" w:hAnsi="宋体" w:cs="宋体"/>
                <w:b/>
                <w:sz w:val="24"/>
                <w:highlight w:val="none"/>
              </w:rPr>
              <w:t>须提前2天联系</w:t>
            </w:r>
            <w:r>
              <w:rPr>
                <w:rFonts w:hint="eastAsia" w:ascii="宋体" w:hAnsi="宋体" w:cs="宋体"/>
                <w:sz w:val="24"/>
                <w:highlight w:val="none"/>
              </w:rPr>
              <w:t>。</w:t>
            </w:r>
          </w:p>
        </w:tc>
        <w:tc>
          <w:tcPr>
            <w:tcW w:w="2254" w:type="dxa"/>
            <w:vAlign w:val="center"/>
          </w:tcPr>
          <w:p>
            <w:pPr>
              <w:spacing w:line="300" w:lineRule="exact"/>
              <w:rPr>
                <w:rFonts w:ascii="宋体" w:hAnsi="宋体" w:cs="宋体"/>
                <w:szCs w:val="21"/>
                <w:highlight w:val="none"/>
              </w:rPr>
            </w:pPr>
            <w:r>
              <w:rPr>
                <w:rFonts w:hint="eastAsia" w:ascii="宋体" w:hAnsi="宋体" w:cs="宋体"/>
                <w:szCs w:val="21"/>
                <w:highlight w:val="none"/>
              </w:rPr>
              <w:t>广东外语外贸大学白云山校区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0" w:type="dxa"/>
            <w:vAlign w:val="center"/>
          </w:tcPr>
          <w:p>
            <w:pPr>
              <w:spacing w:line="400" w:lineRule="exact"/>
              <w:jc w:val="center"/>
              <w:rPr>
                <w:rFonts w:ascii="宋体" w:hAnsi="宋体" w:cs="宋体"/>
                <w:kern w:val="0"/>
                <w:sz w:val="24"/>
                <w:highlight w:val="none"/>
              </w:rPr>
            </w:pPr>
            <w:r>
              <w:rPr>
                <w:rFonts w:hint="eastAsia" w:ascii="宋体" w:hAnsi="宋体" w:cs="宋体"/>
                <w:kern w:val="0"/>
                <w:sz w:val="24"/>
                <w:highlight w:val="none"/>
              </w:rPr>
              <w:t>递交投标文件</w:t>
            </w:r>
          </w:p>
        </w:tc>
        <w:tc>
          <w:tcPr>
            <w:tcW w:w="5137" w:type="dxa"/>
            <w:gridSpan w:val="2"/>
            <w:vAlign w:val="center"/>
          </w:tcPr>
          <w:p>
            <w:pPr>
              <w:spacing w:line="400" w:lineRule="exact"/>
              <w:rPr>
                <w:rFonts w:ascii="宋体" w:hAnsi="宋体" w:cs="宋体"/>
                <w:sz w:val="24"/>
                <w:highlight w:val="none"/>
              </w:rPr>
            </w:pPr>
            <w:r>
              <w:rPr>
                <w:rFonts w:hint="eastAsia" w:ascii="宋体" w:hAnsi="宋体" w:cs="宋体"/>
                <w:sz w:val="24"/>
                <w:highlight w:val="none"/>
              </w:rPr>
              <w:t>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30</w:t>
            </w:r>
            <w:r>
              <w:rPr>
                <w:rFonts w:hint="eastAsia" w:ascii="宋体" w:hAnsi="宋体" w:cs="宋体"/>
                <w:sz w:val="24"/>
                <w:highlight w:val="none"/>
              </w:rPr>
              <w:t>日</w:t>
            </w:r>
            <w:bookmarkStart w:id="515" w:name="_GoBack"/>
            <w:bookmarkEnd w:id="515"/>
            <w:r>
              <w:rPr>
                <w:rFonts w:hint="eastAsia" w:ascii="宋体" w:hAnsi="宋体" w:cs="宋体"/>
                <w:sz w:val="24"/>
                <w:highlight w:val="none"/>
                <w:lang w:val="en-US" w:eastAsia="zh-CN"/>
              </w:rPr>
              <w:t>8</w:t>
            </w: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0时至9:30时（北京时间）</w:t>
            </w:r>
          </w:p>
        </w:tc>
        <w:tc>
          <w:tcPr>
            <w:tcW w:w="2254" w:type="dxa"/>
            <w:vAlign w:val="center"/>
          </w:tcPr>
          <w:p>
            <w:pPr>
              <w:spacing w:line="300" w:lineRule="exact"/>
              <w:rPr>
                <w:rFonts w:ascii="宋体" w:hAnsi="宋体" w:cs="宋体"/>
                <w:spacing w:val="-20"/>
                <w:sz w:val="24"/>
                <w:highlight w:val="none"/>
              </w:rPr>
            </w:pPr>
            <w:r>
              <w:rPr>
                <w:rFonts w:hint="eastAsia" w:ascii="宋体" w:hAnsi="宋体" w:cs="宋体"/>
                <w:szCs w:val="21"/>
                <w:highlight w:val="none"/>
              </w:rPr>
              <w:t>广东外语外贸大学白云山校区后勤综合楼422电子评标室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0" w:type="dxa"/>
            <w:vAlign w:val="center"/>
          </w:tcPr>
          <w:p>
            <w:pPr>
              <w:spacing w:line="400" w:lineRule="exact"/>
              <w:jc w:val="center"/>
              <w:rPr>
                <w:rFonts w:ascii="宋体" w:hAnsi="宋体" w:cs="宋体"/>
                <w:kern w:val="0"/>
                <w:sz w:val="24"/>
                <w:highlight w:val="none"/>
              </w:rPr>
            </w:pPr>
            <w:r>
              <w:rPr>
                <w:rFonts w:hint="eastAsia" w:ascii="宋体" w:hAnsi="宋体" w:cs="宋体"/>
                <w:kern w:val="0"/>
                <w:sz w:val="24"/>
                <w:highlight w:val="none"/>
              </w:rPr>
              <w:t>开启技术、</w:t>
            </w:r>
          </w:p>
          <w:p>
            <w:pPr>
              <w:spacing w:line="400" w:lineRule="exact"/>
              <w:ind w:firstLine="360" w:firstLineChars="150"/>
              <w:rPr>
                <w:rFonts w:ascii="宋体" w:hAnsi="宋体" w:cs="宋体"/>
                <w:kern w:val="0"/>
                <w:sz w:val="24"/>
                <w:highlight w:val="none"/>
              </w:rPr>
            </w:pPr>
            <w:r>
              <w:rPr>
                <w:rFonts w:hint="eastAsia" w:ascii="宋体" w:hAnsi="宋体" w:cs="宋体"/>
                <w:kern w:val="0"/>
                <w:sz w:val="24"/>
                <w:highlight w:val="none"/>
              </w:rPr>
              <w:t>经济标书</w:t>
            </w:r>
          </w:p>
        </w:tc>
        <w:tc>
          <w:tcPr>
            <w:tcW w:w="5137" w:type="dxa"/>
            <w:gridSpan w:val="2"/>
            <w:vAlign w:val="center"/>
          </w:tcPr>
          <w:p>
            <w:pPr>
              <w:spacing w:line="400" w:lineRule="exact"/>
              <w:rPr>
                <w:rFonts w:ascii="宋体" w:hAnsi="宋体" w:cs="宋体"/>
                <w:sz w:val="24"/>
                <w:highlight w:val="none"/>
              </w:rPr>
            </w:pPr>
            <w:r>
              <w:rPr>
                <w:rFonts w:hint="eastAsia" w:ascii="宋体" w:hAnsi="宋体" w:cs="宋体"/>
                <w:sz w:val="24"/>
                <w:highlight w:val="none"/>
              </w:rPr>
              <w:t>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30日</w:t>
            </w:r>
            <w:r>
              <w:rPr>
                <w:rFonts w:hint="eastAsia" w:ascii="宋体" w:hAnsi="宋体" w:cs="宋体"/>
                <w:sz w:val="24"/>
                <w:highlight w:val="none"/>
              </w:rPr>
              <w:t>9:30（北京时间）</w:t>
            </w:r>
          </w:p>
        </w:tc>
        <w:tc>
          <w:tcPr>
            <w:tcW w:w="2254" w:type="dxa"/>
            <w:vAlign w:val="center"/>
          </w:tcPr>
          <w:p>
            <w:pPr>
              <w:spacing w:line="300" w:lineRule="exact"/>
              <w:rPr>
                <w:rFonts w:ascii="宋体" w:hAnsi="宋体" w:cs="宋体"/>
                <w:spacing w:val="-20"/>
                <w:sz w:val="24"/>
                <w:highlight w:val="none"/>
              </w:rPr>
            </w:pPr>
            <w:r>
              <w:rPr>
                <w:rFonts w:hint="eastAsia" w:ascii="宋体" w:hAnsi="宋体" w:cs="宋体"/>
                <w:szCs w:val="21"/>
                <w:highlight w:val="none"/>
              </w:rPr>
              <w:t>广东外语外贸大学白云山校区后勤综合楼422电子评标室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0" w:type="dxa"/>
            <w:vAlign w:val="center"/>
          </w:tcPr>
          <w:p>
            <w:pPr>
              <w:spacing w:line="400" w:lineRule="exact"/>
              <w:jc w:val="center"/>
              <w:rPr>
                <w:rFonts w:ascii="宋体" w:hAnsi="宋体" w:cs="宋体"/>
                <w:kern w:val="0"/>
                <w:sz w:val="24"/>
                <w:highlight w:val="none"/>
              </w:rPr>
            </w:pPr>
            <w:r>
              <w:rPr>
                <w:rFonts w:hint="eastAsia" w:ascii="宋体" w:hAnsi="宋体" w:cs="宋体"/>
                <w:kern w:val="0"/>
                <w:sz w:val="24"/>
                <w:highlight w:val="none"/>
              </w:rPr>
              <w:t>评审</w:t>
            </w:r>
          </w:p>
        </w:tc>
        <w:tc>
          <w:tcPr>
            <w:tcW w:w="5137" w:type="dxa"/>
            <w:gridSpan w:val="2"/>
            <w:vAlign w:val="center"/>
          </w:tcPr>
          <w:p>
            <w:pPr>
              <w:spacing w:line="400" w:lineRule="exact"/>
              <w:rPr>
                <w:rFonts w:ascii="宋体" w:hAnsi="宋体" w:cs="宋体"/>
                <w:sz w:val="24"/>
                <w:highlight w:val="none"/>
              </w:rPr>
            </w:pPr>
            <w:r>
              <w:rPr>
                <w:rFonts w:hint="eastAsia" w:ascii="宋体" w:hAnsi="宋体" w:cs="宋体"/>
                <w:sz w:val="24"/>
                <w:highlight w:val="none"/>
              </w:rPr>
              <w:t>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30</w:t>
            </w:r>
            <w:r>
              <w:rPr>
                <w:rFonts w:hint="eastAsia" w:ascii="宋体" w:hAnsi="宋体" w:cs="宋体"/>
                <w:sz w:val="24"/>
                <w:highlight w:val="none"/>
              </w:rPr>
              <w:t>日10:00-12:00（北京时间）</w:t>
            </w:r>
          </w:p>
        </w:tc>
        <w:tc>
          <w:tcPr>
            <w:tcW w:w="2254" w:type="dxa"/>
            <w:vAlign w:val="center"/>
          </w:tcPr>
          <w:p>
            <w:pPr>
              <w:spacing w:line="300" w:lineRule="exact"/>
              <w:rPr>
                <w:rFonts w:ascii="宋体" w:hAnsi="宋体" w:cs="宋体"/>
                <w:spacing w:val="-20"/>
                <w:sz w:val="24"/>
                <w:highlight w:val="none"/>
              </w:rPr>
            </w:pPr>
            <w:r>
              <w:rPr>
                <w:rFonts w:hint="eastAsia" w:ascii="宋体" w:hAnsi="宋体" w:cs="宋体"/>
                <w:szCs w:val="21"/>
                <w:highlight w:val="none"/>
              </w:rPr>
              <w:t>广东外语外贸大学白云山校区后勤综合楼422电子评标室</w:t>
            </w:r>
          </w:p>
        </w:tc>
      </w:tr>
    </w:tbl>
    <w:p>
      <w:pPr>
        <w:spacing w:before="120" w:beforeLines="50" w:line="360" w:lineRule="auto"/>
        <w:ind w:firstLine="482" w:firstLineChars="200"/>
        <w:rPr>
          <w:rFonts w:ascii="宋体" w:hAnsi="宋体" w:cs="宋体"/>
          <w:b/>
          <w:bCs/>
          <w:sz w:val="28"/>
          <w:highlight w:val="none"/>
        </w:rPr>
      </w:pPr>
      <w:r>
        <w:rPr>
          <w:rFonts w:hint="eastAsia" w:ascii="宋体" w:hAnsi="宋体" w:cs="宋体"/>
          <w:b/>
          <w:kern w:val="0"/>
          <w:sz w:val="24"/>
          <w:highlight w:val="none"/>
        </w:rPr>
        <w:t>备注：是否需要现场勘察可由投标单位自行决定。</w:t>
      </w:r>
      <w:r>
        <w:rPr>
          <w:rFonts w:hint="eastAsia" w:ascii="宋体" w:hAnsi="宋体" w:cs="宋体"/>
          <w:b/>
          <w:bCs/>
          <w:sz w:val="28"/>
          <w:highlight w:val="none"/>
        </w:rPr>
        <w:t xml:space="preserve"> </w:t>
      </w:r>
    </w:p>
    <w:p>
      <w:pPr>
        <w:rPr>
          <w:rFonts w:ascii="宋体" w:hAnsi="宋体" w:cs="宋体"/>
        </w:rPr>
      </w:pPr>
      <w:bookmarkStart w:id="54" w:name="_Toc339544890"/>
    </w:p>
    <w:p>
      <w:pPr>
        <w:pStyle w:val="3"/>
        <w:spacing w:after="120"/>
        <w:ind w:left="0" w:leftChars="0" w:firstLine="482"/>
        <w:rPr>
          <w:rFonts w:ascii="宋体" w:hAnsi="宋体" w:cs="宋体"/>
          <w:sz w:val="24"/>
          <w:szCs w:val="24"/>
        </w:rPr>
      </w:pPr>
      <w:bookmarkStart w:id="55" w:name="_Toc61511592"/>
      <w:bookmarkStart w:id="56" w:name="_Toc136009915"/>
      <w:r>
        <w:rPr>
          <w:rFonts w:hint="eastAsia" w:ascii="宋体" w:hAnsi="宋体" w:cs="宋体"/>
          <w:sz w:val="24"/>
          <w:szCs w:val="24"/>
        </w:rPr>
        <w:t>十五、附件</w:t>
      </w:r>
      <w:bookmarkEnd w:id="54"/>
      <w:bookmarkEnd w:id="55"/>
      <w:bookmarkEnd w:id="56"/>
    </w:p>
    <w:p>
      <w:pPr>
        <w:spacing w:line="360" w:lineRule="auto"/>
        <w:ind w:firstLine="480" w:firstLineChars="200"/>
        <w:jc w:val="left"/>
        <w:rPr>
          <w:rFonts w:ascii="宋体" w:hAnsi="宋体" w:cs="宋体"/>
          <w:sz w:val="24"/>
        </w:rPr>
      </w:pPr>
      <w:r>
        <w:rPr>
          <w:rFonts w:hint="eastAsia" w:ascii="宋体" w:hAnsi="宋体" w:cs="宋体"/>
          <w:sz w:val="24"/>
        </w:rPr>
        <w:t>1.投标承诺书（附件1）</w:t>
      </w:r>
    </w:p>
    <w:p>
      <w:pPr>
        <w:spacing w:line="360" w:lineRule="auto"/>
        <w:ind w:firstLine="480" w:firstLineChars="200"/>
        <w:jc w:val="left"/>
        <w:rPr>
          <w:rFonts w:ascii="宋体" w:hAnsi="宋体" w:cs="宋体"/>
          <w:sz w:val="24"/>
        </w:rPr>
      </w:pPr>
      <w:r>
        <w:rPr>
          <w:rFonts w:hint="eastAsia" w:ascii="宋体" w:hAnsi="宋体" w:cs="宋体"/>
          <w:sz w:val="24"/>
        </w:rPr>
        <w:t>2.《主要材料品牌选用表》---（附件2）</w:t>
      </w:r>
    </w:p>
    <w:p>
      <w:pPr>
        <w:spacing w:line="360" w:lineRule="auto"/>
        <w:ind w:firstLine="480" w:firstLineChars="200"/>
        <w:jc w:val="left"/>
        <w:rPr>
          <w:rFonts w:ascii="宋体" w:hAnsi="宋体" w:cs="宋体"/>
          <w:sz w:val="24"/>
        </w:rPr>
      </w:pPr>
      <w:r>
        <w:rPr>
          <w:rFonts w:hint="eastAsia" w:ascii="宋体" w:hAnsi="宋体" w:cs="宋体"/>
          <w:sz w:val="24"/>
        </w:rPr>
        <w:t>3.施工合同范本（附件3）</w:t>
      </w:r>
    </w:p>
    <w:p>
      <w:pPr>
        <w:spacing w:line="360" w:lineRule="auto"/>
        <w:ind w:firstLine="480" w:firstLineChars="200"/>
        <w:jc w:val="left"/>
        <w:rPr>
          <w:rFonts w:ascii="宋体" w:hAnsi="宋体" w:cs="宋体"/>
          <w:sz w:val="24"/>
        </w:rPr>
      </w:pPr>
      <w:r>
        <w:rPr>
          <w:rFonts w:hint="eastAsia" w:ascii="宋体" w:hAnsi="宋体" w:cs="宋体"/>
          <w:sz w:val="24"/>
        </w:rPr>
        <w:t>4.法定代表人证明书、法定代表人授权委托证明书、建造师简历表的格式样板（附件4）</w:t>
      </w:r>
    </w:p>
    <w:p>
      <w:pPr>
        <w:spacing w:line="360" w:lineRule="auto"/>
        <w:ind w:firstLine="480" w:firstLineChars="200"/>
        <w:jc w:val="left"/>
        <w:rPr>
          <w:rFonts w:ascii="宋体" w:hAnsi="宋体" w:cs="宋体"/>
          <w:sz w:val="24"/>
        </w:rPr>
      </w:pPr>
      <w:r>
        <w:rPr>
          <w:rFonts w:hint="eastAsia" w:ascii="宋体" w:hAnsi="宋体" w:cs="宋体"/>
          <w:sz w:val="24"/>
        </w:rPr>
        <w:t>5.施工图纸（另册）（附件5）</w:t>
      </w:r>
    </w:p>
    <w:p>
      <w:pPr>
        <w:spacing w:line="360" w:lineRule="auto"/>
        <w:ind w:firstLine="480" w:firstLineChars="200"/>
        <w:jc w:val="left"/>
        <w:rPr>
          <w:rFonts w:ascii="宋体" w:hAnsi="宋体" w:cs="宋体"/>
          <w:sz w:val="24"/>
        </w:rPr>
      </w:pPr>
      <w:r>
        <w:rPr>
          <w:rFonts w:hint="eastAsia" w:ascii="宋体" w:hAnsi="宋体" w:cs="宋体"/>
          <w:sz w:val="24"/>
        </w:rPr>
        <w:t>6.工程量清单（另册）（附件6）</w:t>
      </w:r>
    </w:p>
    <w:p>
      <w:pPr>
        <w:rPr>
          <w:rFonts w:ascii="宋体" w:hAnsi="宋体" w:cs="宋体"/>
        </w:rPr>
      </w:pPr>
    </w:p>
    <w:p>
      <w:pPr>
        <w:pStyle w:val="3"/>
        <w:keepLines w:val="0"/>
        <w:tabs>
          <w:tab w:val="left" w:pos="851"/>
        </w:tabs>
        <w:spacing w:after="120" w:line="360" w:lineRule="auto"/>
        <w:ind w:left="0" w:leftChars="0" w:firstLine="100" w:firstLineChars="0"/>
        <w:rPr>
          <w:rFonts w:ascii="宋体" w:hAnsi="宋体" w:cs="宋体"/>
          <w:sz w:val="24"/>
        </w:rPr>
      </w:pPr>
      <w:r>
        <w:rPr>
          <w:rFonts w:hint="eastAsia" w:ascii="宋体" w:hAnsi="宋体" w:cs="宋体"/>
          <w:sz w:val="24"/>
        </w:rPr>
        <w:br w:type="page"/>
      </w:r>
      <w:bookmarkStart w:id="57" w:name="_Toc136009916"/>
      <w:bookmarkStart w:id="58" w:name="_Toc61511593"/>
      <w:bookmarkStart w:id="59" w:name="_Toc339544891"/>
      <w:r>
        <w:rPr>
          <w:rFonts w:hint="eastAsia" w:ascii="宋体" w:hAnsi="宋体" w:cs="宋体"/>
          <w:sz w:val="24"/>
        </w:rPr>
        <w:t>附件1：投标承诺书</w:t>
      </w:r>
      <w:bookmarkEnd w:id="57"/>
      <w:bookmarkEnd w:id="58"/>
      <w:bookmarkEnd w:id="59"/>
    </w:p>
    <w:p>
      <w:pPr>
        <w:spacing w:line="360" w:lineRule="auto"/>
        <w:jc w:val="center"/>
        <w:rPr>
          <w:rFonts w:ascii="宋体" w:hAnsi="宋体" w:cs="宋体"/>
          <w:sz w:val="44"/>
          <w:szCs w:val="36"/>
        </w:rPr>
      </w:pPr>
      <w:bookmarkStart w:id="60" w:name="_Toc339544892"/>
      <w:r>
        <w:rPr>
          <w:rFonts w:hint="eastAsia" w:ascii="宋体" w:hAnsi="宋体" w:cs="宋体"/>
          <w:sz w:val="44"/>
          <w:szCs w:val="36"/>
        </w:rPr>
        <w:t>投 标 承 诺 书</w:t>
      </w:r>
    </w:p>
    <w:p>
      <w:pPr>
        <w:overflowPunct w:val="0"/>
        <w:spacing w:line="360" w:lineRule="auto"/>
        <w:jc w:val="left"/>
        <w:rPr>
          <w:rFonts w:ascii="宋体" w:hAnsi="宋体" w:cs="宋体"/>
          <w:sz w:val="24"/>
          <w:u w:val="single"/>
        </w:rPr>
      </w:pPr>
      <w:r>
        <w:rPr>
          <w:rFonts w:hint="eastAsia" w:ascii="宋体" w:hAnsi="宋体" w:cs="宋体"/>
          <w:b/>
          <w:bCs/>
          <w:sz w:val="24"/>
        </w:rPr>
        <w:t>招标人</w:t>
      </w:r>
      <w:r>
        <w:rPr>
          <w:rFonts w:hint="eastAsia" w:ascii="宋体" w:hAnsi="宋体" w:cs="宋体"/>
          <w:sz w:val="24"/>
        </w:rPr>
        <w:t>：</w:t>
      </w:r>
      <w:r>
        <w:rPr>
          <w:rFonts w:hint="eastAsia" w:ascii="宋体" w:hAnsi="宋体" w:cs="宋体"/>
          <w:b/>
          <w:bCs/>
          <w:sz w:val="24"/>
        </w:rPr>
        <w:t>广东外语外贸大学</w:t>
      </w:r>
    </w:p>
    <w:p>
      <w:pPr>
        <w:overflowPunct w:val="0"/>
        <w:spacing w:line="360" w:lineRule="auto"/>
        <w:jc w:val="left"/>
        <w:rPr>
          <w:rFonts w:hint="eastAsia" w:ascii="宋体" w:hAnsi="宋体" w:eastAsia="宋体" w:cs="宋体"/>
          <w:b/>
          <w:sz w:val="28"/>
          <w:szCs w:val="28"/>
          <w:u w:val="single"/>
          <w:lang w:eastAsia="zh-CN"/>
        </w:rPr>
      </w:pPr>
      <w:r>
        <w:rPr>
          <w:rFonts w:hint="eastAsia" w:ascii="宋体" w:hAnsi="宋体" w:cs="宋体"/>
          <w:b/>
          <w:bCs/>
          <w:sz w:val="24"/>
        </w:rPr>
        <w:t>投标工程名称：</w:t>
      </w:r>
      <w:r>
        <w:rPr>
          <w:rFonts w:hint="eastAsia" w:ascii="宋体" w:hAnsi="宋体" w:cs="宋体"/>
          <w:b/>
          <w:bCs/>
          <w:sz w:val="24"/>
          <w:u w:val="single"/>
          <w:lang w:eastAsia="zh-CN"/>
        </w:rPr>
        <w:t>白云山校区国际学院公共区域局部修缮项目</w:t>
      </w:r>
    </w:p>
    <w:p>
      <w:pPr>
        <w:overflowPunct w:val="0"/>
        <w:spacing w:line="360" w:lineRule="auto"/>
        <w:ind w:firstLine="480" w:firstLineChars="200"/>
        <w:jc w:val="left"/>
        <w:rPr>
          <w:rFonts w:ascii="宋体" w:hAnsi="宋体" w:cs="宋体"/>
          <w:sz w:val="24"/>
        </w:rPr>
      </w:pPr>
      <w:r>
        <w:rPr>
          <w:rFonts w:hint="eastAsia" w:ascii="宋体" w:hAnsi="宋体" w:cs="宋体"/>
          <w:sz w:val="24"/>
        </w:rPr>
        <w:t>1.我方承诺因对招投标文件的任何误解或忽略或对建设场地条件缺乏必要的了解，或不参加工程交底会而导致中标后发生的任何风险，其责任自负，不得以任何理由向建设单位提出任何索赔要求。</w:t>
      </w:r>
    </w:p>
    <w:p>
      <w:pPr>
        <w:overflowPunct w:val="0"/>
        <w:spacing w:line="360" w:lineRule="auto"/>
        <w:ind w:firstLine="480" w:firstLineChars="200"/>
        <w:jc w:val="left"/>
        <w:rPr>
          <w:rFonts w:ascii="宋体" w:hAnsi="宋体" w:cs="宋体"/>
          <w:sz w:val="24"/>
        </w:rPr>
      </w:pPr>
      <w:r>
        <w:rPr>
          <w:rFonts w:hint="eastAsia" w:ascii="宋体" w:hAnsi="宋体" w:cs="宋体"/>
          <w:sz w:val="24"/>
        </w:rPr>
        <w:t>2.我方已收到上述投标工程所提供的一切有关招标文件、图纸资料，并对施工现场进行调查勘察，现根据招标文件、招标答疑纪要、其它相关文件的要求及设计图纸并考虑本企业自身的实力及特点，经综合研究决定，我单位愿以人民币（大写）：</w:t>
      </w:r>
      <w:r>
        <w:rPr>
          <w:rFonts w:hint="eastAsia" w:ascii="宋体" w:hAnsi="宋体" w:cs="宋体"/>
          <w:sz w:val="24"/>
          <w:u w:val="single"/>
        </w:rPr>
        <w:t xml:space="preserve">                     </w:t>
      </w:r>
      <w:r>
        <w:rPr>
          <w:rFonts w:hint="eastAsia" w:ascii="宋体" w:hAnsi="宋体" w:cs="宋体"/>
          <w:sz w:val="24"/>
        </w:rPr>
        <w:t>元 ；（小写）：</w:t>
      </w:r>
      <w:r>
        <w:rPr>
          <w:rFonts w:hint="eastAsia" w:ascii="宋体" w:hAnsi="宋体" w:cs="宋体"/>
          <w:sz w:val="24"/>
          <w:u w:val="single"/>
        </w:rPr>
        <w:t xml:space="preserve">           </w:t>
      </w:r>
      <w:r>
        <w:rPr>
          <w:rFonts w:hint="eastAsia" w:ascii="宋体" w:hAnsi="宋体" w:cs="宋体"/>
          <w:sz w:val="24"/>
        </w:rPr>
        <w:t>元的投标报价竞投承包上述工程。</w:t>
      </w:r>
    </w:p>
    <w:p>
      <w:pPr>
        <w:overflowPunct w:val="0"/>
        <w:spacing w:line="360" w:lineRule="auto"/>
        <w:ind w:firstLine="480" w:firstLineChars="200"/>
        <w:jc w:val="left"/>
        <w:rPr>
          <w:rFonts w:ascii="宋体" w:hAnsi="宋体" w:cs="宋体"/>
          <w:sz w:val="24"/>
        </w:rPr>
      </w:pPr>
      <w:r>
        <w:rPr>
          <w:rFonts w:hint="eastAsia" w:ascii="宋体" w:hAnsi="宋体" w:cs="宋体"/>
          <w:sz w:val="24"/>
        </w:rPr>
        <w:t>3.我单位如果中标，必定全面履行上述工程招标文件、图纸、其它相关文件的规定和要求，并同意与贵方签署一份基于上述文件而制定的承包合同。</w:t>
      </w:r>
    </w:p>
    <w:p>
      <w:pPr>
        <w:overflowPunct w:val="0"/>
        <w:spacing w:line="360" w:lineRule="auto"/>
        <w:ind w:firstLine="480" w:firstLineChars="200"/>
        <w:jc w:val="left"/>
        <w:rPr>
          <w:rFonts w:ascii="宋体" w:hAnsi="宋体" w:cs="宋体"/>
          <w:sz w:val="24"/>
        </w:rPr>
      </w:pPr>
      <w:r>
        <w:rPr>
          <w:rFonts w:hint="eastAsia" w:ascii="宋体" w:hAnsi="宋体" w:cs="宋体"/>
          <w:sz w:val="24"/>
        </w:rPr>
        <w:t>4.本工程投标工期为</w:t>
      </w:r>
      <w:r>
        <w:rPr>
          <w:rFonts w:hint="eastAsia" w:ascii="宋体" w:hAnsi="宋体" w:cs="宋体"/>
          <w:sz w:val="24"/>
          <w:u w:val="single"/>
          <w:lang w:val="en-US" w:eastAsia="zh-CN"/>
        </w:rPr>
        <w:t>40</w:t>
      </w:r>
      <w:r>
        <w:rPr>
          <w:rFonts w:hint="eastAsia" w:ascii="宋体" w:hAnsi="宋体" w:cs="宋体"/>
          <w:sz w:val="24"/>
        </w:rPr>
        <w:t>个日历天，保证如期开工。我单位完工后保证及时清运本工程施工时所留余泥、建筑垃圾等，保证环境的整洁、干净。竣工后</w:t>
      </w:r>
      <w:r>
        <w:rPr>
          <w:rFonts w:hint="eastAsia" w:ascii="宋体" w:hAnsi="宋体" w:cs="宋体"/>
          <w:sz w:val="24"/>
          <w:u w:val="single"/>
        </w:rPr>
        <w:t xml:space="preserve"> 60 </w:t>
      </w:r>
      <w:r>
        <w:rPr>
          <w:rFonts w:hint="eastAsia" w:ascii="宋体" w:hAnsi="宋体" w:cs="宋体"/>
          <w:sz w:val="24"/>
        </w:rPr>
        <w:t>天以内，保证按建设单位竣工结算目录的要求办理竣工结算。</w:t>
      </w:r>
    </w:p>
    <w:p>
      <w:pPr>
        <w:overflowPunct w:val="0"/>
        <w:spacing w:line="360" w:lineRule="auto"/>
        <w:ind w:firstLine="480" w:firstLineChars="200"/>
        <w:jc w:val="left"/>
        <w:rPr>
          <w:rFonts w:ascii="宋体" w:hAnsi="宋体" w:cs="宋体"/>
          <w:sz w:val="24"/>
        </w:rPr>
      </w:pPr>
      <w:r>
        <w:rPr>
          <w:rFonts w:hint="eastAsia" w:ascii="宋体" w:hAnsi="宋体" w:cs="宋体"/>
          <w:sz w:val="24"/>
        </w:rPr>
        <w:t>5.我单位对招标文件及有关文件的所有条款做出完全响应的承诺。我单位中标后保证遵守</w:t>
      </w:r>
      <w:r>
        <w:rPr>
          <w:rFonts w:hint="eastAsia" w:ascii="宋体" w:hAnsi="宋体" w:cs="宋体"/>
          <w:sz w:val="24"/>
          <w:lang w:eastAsia="zh-CN"/>
        </w:rPr>
        <w:t>白云山校区国际学院公共区域局部修缮项目</w:t>
      </w:r>
      <w:r>
        <w:rPr>
          <w:rFonts w:hint="eastAsia" w:ascii="宋体" w:hAnsi="宋体" w:cs="宋体"/>
          <w:sz w:val="24"/>
        </w:rPr>
        <w:t>的各项管理规定，并接受建设单位委托的工程监理公司的监督管理。</w:t>
      </w:r>
    </w:p>
    <w:p>
      <w:pPr>
        <w:overflowPunct w:val="0"/>
        <w:spacing w:line="360" w:lineRule="auto"/>
        <w:ind w:firstLine="480" w:firstLineChars="200"/>
        <w:jc w:val="left"/>
        <w:rPr>
          <w:rFonts w:ascii="宋体" w:hAnsi="宋体" w:cs="宋体"/>
          <w:sz w:val="24"/>
        </w:rPr>
      </w:pPr>
      <w:r>
        <w:rPr>
          <w:rFonts w:ascii="宋体" w:hAnsi="宋体" w:cs="宋体"/>
          <w:sz w:val="24"/>
        </w:rPr>
        <w:t>6</w:t>
      </w:r>
      <w:r>
        <w:rPr>
          <w:rFonts w:hint="eastAsia" w:ascii="宋体" w:hAnsi="宋体" w:cs="宋体"/>
          <w:sz w:val="24"/>
        </w:rPr>
        <w:t>.我单位承诺：</w:t>
      </w:r>
      <w:r>
        <w:rPr>
          <w:rFonts w:hint="eastAsia" w:ascii="宋体" w:hAnsi="宋体" w:cs="宋体"/>
          <w:kern w:val="0"/>
          <w:sz w:val="24"/>
          <w:szCs w:val="22"/>
        </w:rPr>
        <w:t>“我方提交的工程竣工结算</w:t>
      </w:r>
      <w:r>
        <w:rPr>
          <w:rFonts w:hint="eastAsia" w:ascii="宋体" w:hAnsi="宋体" w:cs="宋体"/>
          <w:sz w:val="24"/>
        </w:rPr>
        <w:t>价与发包人终审价之间误差必须控制在5%内，如超出，除按核减金额的10%作为违约金直接从工程结算款中予以扣减外，委托送审所需的费用（造价咨询结算审核服务费）由承包人承担，该费用由发包人在工程结算款中扣除，承包人没有异议”。</w:t>
      </w:r>
    </w:p>
    <w:p>
      <w:pPr>
        <w:overflowPunct w:val="0"/>
        <w:spacing w:line="360" w:lineRule="auto"/>
        <w:ind w:firstLine="480" w:firstLineChars="200"/>
        <w:jc w:val="left"/>
        <w:rPr>
          <w:rFonts w:ascii="宋体" w:hAnsi="宋体" w:cs="宋体"/>
          <w:sz w:val="24"/>
        </w:rPr>
      </w:pPr>
      <w:r>
        <w:rPr>
          <w:rFonts w:ascii="宋体" w:hAnsi="宋体" w:cs="宋体"/>
          <w:sz w:val="24"/>
        </w:rPr>
        <w:t>7.</w:t>
      </w:r>
      <w:r>
        <w:rPr>
          <w:rFonts w:hint="eastAsia" w:ascii="宋体" w:hAnsi="宋体" w:cs="宋体"/>
          <w:sz w:val="24"/>
        </w:rPr>
        <w:t xml:space="preserve"> 我单位承诺：没有处于被责令停业的状态，没有处于被建设行政主管部门取消投标资格的处罚期内，没有处于财产被接管、冻结、破产的状态，投标报名截止时间前三年内没有重大工程质量问题，我方与其他投标供应商不存在单位负责人为同一人或者存在直接控股、管理关系。</w:t>
      </w:r>
    </w:p>
    <w:p>
      <w:pPr>
        <w:overflowPunct w:val="0"/>
        <w:spacing w:line="360" w:lineRule="auto"/>
        <w:ind w:firstLine="480" w:firstLineChars="200"/>
        <w:jc w:val="left"/>
        <w:rPr>
          <w:rFonts w:ascii="宋体" w:hAnsi="宋体" w:cs="宋体"/>
          <w:sz w:val="24"/>
        </w:rPr>
      </w:pPr>
      <w:r>
        <w:rPr>
          <w:rFonts w:ascii="宋体" w:hAnsi="宋体" w:cs="宋体"/>
          <w:sz w:val="24"/>
        </w:rPr>
        <w:t>8.</w:t>
      </w:r>
      <w:r>
        <w:rPr>
          <w:rFonts w:hint="eastAsia" w:ascii="宋体" w:hAnsi="宋体" w:cs="宋体"/>
          <w:sz w:val="24"/>
        </w:rPr>
        <w:t>投标有效期为60天。</w:t>
      </w:r>
    </w:p>
    <w:p>
      <w:pPr>
        <w:overflowPunct w:val="0"/>
        <w:spacing w:line="360" w:lineRule="auto"/>
        <w:ind w:firstLine="680"/>
        <w:jc w:val="left"/>
        <w:rPr>
          <w:rFonts w:ascii="宋体" w:hAnsi="宋体" w:cs="宋体"/>
          <w:sz w:val="24"/>
        </w:rPr>
      </w:pPr>
    </w:p>
    <w:p>
      <w:pPr>
        <w:overflowPunct w:val="0"/>
        <w:spacing w:line="360" w:lineRule="auto"/>
        <w:ind w:firstLine="680"/>
        <w:jc w:val="left"/>
        <w:rPr>
          <w:rFonts w:ascii="宋体" w:hAnsi="宋体" w:cs="宋体"/>
          <w:sz w:val="24"/>
          <w:u w:val="single"/>
        </w:rPr>
      </w:pPr>
      <w:r>
        <w:rPr>
          <w:rFonts w:hint="eastAsia" w:ascii="宋体" w:hAnsi="宋体" w:cs="宋体"/>
          <w:sz w:val="24"/>
        </w:rPr>
        <w:t>投标单位名称（盖法人公章）：</w:t>
      </w:r>
      <w:r>
        <w:rPr>
          <w:rFonts w:hint="eastAsia" w:ascii="宋体" w:hAnsi="宋体" w:cs="宋体"/>
          <w:sz w:val="24"/>
          <w:u w:val="single"/>
        </w:rPr>
        <w:t xml:space="preserve">                                        </w:t>
      </w:r>
    </w:p>
    <w:p>
      <w:pPr>
        <w:overflowPunct w:val="0"/>
        <w:spacing w:line="360" w:lineRule="auto"/>
        <w:ind w:firstLine="680"/>
        <w:jc w:val="left"/>
        <w:rPr>
          <w:rFonts w:ascii="宋体" w:hAnsi="宋体" w:cs="宋体"/>
          <w:sz w:val="24"/>
          <w:u w:val="single"/>
        </w:rPr>
      </w:pPr>
      <w:r>
        <w:rPr>
          <w:rFonts w:hint="eastAsia" w:ascii="宋体" w:hAnsi="宋体" w:cs="宋体"/>
          <w:sz w:val="24"/>
        </w:rPr>
        <w:t>法定代表人或授权委托人（签字或盖章）：</w:t>
      </w:r>
      <w:r>
        <w:rPr>
          <w:rFonts w:hint="eastAsia" w:ascii="宋体" w:hAnsi="宋体" w:cs="宋体"/>
          <w:sz w:val="24"/>
          <w:u w:val="single"/>
        </w:rPr>
        <w:t xml:space="preserve">                                </w:t>
      </w:r>
    </w:p>
    <w:p>
      <w:pPr>
        <w:overflowPunct w:val="0"/>
        <w:spacing w:line="360" w:lineRule="auto"/>
        <w:ind w:firstLine="680"/>
        <w:jc w:val="left"/>
        <w:rPr>
          <w:rFonts w:ascii="宋体" w:hAnsi="宋体" w:cs="宋体"/>
          <w:sz w:val="24"/>
          <w:u w:val="single"/>
        </w:rPr>
      </w:pPr>
      <w:r>
        <w:rPr>
          <w:rFonts w:hint="eastAsia" w:ascii="宋体" w:hAnsi="宋体" w:cs="宋体"/>
          <w:sz w:val="24"/>
        </w:rPr>
        <w:t>联 系 人：</w:t>
      </w:r>
      <w:r>
        <w:rPr>
          <w:rFonts w:hint="eastAsia" w:ascii="宋体" w:hAnsi="宋体" w:cs="宋体"/>
          <w:sz w:val="24"/>
          <w:u w:val="single"/>
        </w:rPr>
        <w:t xml:space="preserve">                   </w:t>
      </w:r>
      <w:r>
        <w:rPr>
          <w:rFonts w:hint="eastAsia" w:ascii="宋体" w:hAnsi="宋体" w:cs="宋体"/>
          <w:sz w:val="24"/>
        </w:rPr>
        <w:t xml:space="preserve">      联系电话：</w:t>
      </w:r>
      <w:r>
        <w:rPr>
          <w:rFonts w:hint="eastAsia" w:ascii="宋体" w:hAnsi="宋体" w:cs="宋体"/>
          <w:sz w:val="24"/>
          <w:u w:val="single"/>
        </w:rPr>
        <w:t xml:space="preserve">                      </w:t>
      </w:r>
    </w:p>
    <w:p>
      <w:pPr>
        <w:overflowPunct w:val="0"/>
        <w:spacing w:line="360" w:lineRule="auto"/>
        <w:ind w:firstLine="680"/>
        <w:jc w:val="left"/>
        <w:rPr>
          <w:rFonts w:ascii="宋体" w:hAnsi="宋体" w:cs="宋体"/>
          <w:sz w:val="24"/>
          <w:u w:val="single"/>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帐    户：</w:t>
      </w:r>
      <w:r>
        <w:rPr>
          <w:rFonts w:hint="eastAsia" w:ascii="宋体" w:hAnsi="宋体" w:cs="宋体"/>
          <w:sz w:val="24"/>
          <w:u w:val="single"/>
        </w:rPr>
        <w:t xml:space="preserve">                      </w:t>
      </w:r>
    </w:p>
    <w:bookmarkEnd w:id="60"/>
    <w:p>
      <w:pPr>
        <w:rPr>
          <w:rFonts w:ascii="宋体" w:hAnsi="宋体" w:cs="宋体"/>
        </w:rPr>
        <w:sectPr>
          <w:headerReference r:id="rId10" w:type="default"/>
          <w:footerReference r:id="rId11" w:type="even"/>
          <w:pgSz w:w="11906" w:h="16838"/>
          <w:pgMar w:top="1418" w:right="1134" w:bottom="1418" w:left="1247" w:header="851" w:footer="851" w:gutter="0"/>
          <w:cols w:space="720" w:num="1"/>
          <w:titlePg/>
          <w:docGrid w:linePitch="312" w:charSpace="0"/>
        </w:sectPr>
      </w:pPr>
      <w:bookmarkStart w:id="61" w:name="_Toc339544897"/>
      <w:bookmarkStart w:id="62" w:name="_Toc180577763"/>
    </w:p>
    <w:bookmarkEnd w:id="61"/>
    <w:bookmarkEnd w:id="62"/>
    <w:p>
      <w:pPr>
        <w:pStyle w:val="3"/>
        <w:keepLines w:val="0"/>
        <w:tabs>
          <w:tab w:val="left" w:pos="851"/>
        </w:tabs>
        <w:spacing w:after="120" w:line="360" w:lineRule="auto"/>
        <w:ind w:left="0" w:leftChars="0" w:firstLine="100" w:firstLineChars="0"/>
        <w:rPr>
          <w:rFonts w:ascii="宋体" w:hAnsi="宋体" w:cs="宋体"/>
          <w:sz w:val="24"/>
        </w:rPr>
      </w:pPr>
      <w:bookmarkStart w:id="63" w:name="_Toc61511857"/>
      <w:bookmarkStart w:id="64" w:name="_Toc136009917"/>
      <w:bookmarkStart w:id="65" w:name="_Toc61511594"/>
      <w:bookmarkStart w:id="66" w:name="_Toc61511595"/>
      <w:bookmarkStart w:id="67" w:name="_Toc339544898"/>
      <w:r>
        <w:rPr>
          <w:rFonts w:hint="eastAsia" w:ascii="宋体" w:hAnsi="宋体" w:cs="宋体"/>
          <w:sz w:val="24"/>
        </w:rPr>
        <w:t>附件2：《主要材料品牌选用表》</w:t>
      </w:r>
      <w:bookmarkEnd w:id="63"/>
      <w:bookmarkEnd w:id="64"/>
      <w:bookmarkEnd w:id="65"/>
    </w:p>
    <w:p>
      <w:pPr>
        <w:widowControl/>
        <w:spacing w:line="500" w:lineRule="exact"/>
        <w:rPr>
          <w:rFonts w:hint="eastAsia" w:ascii="宋体" w:hAnsi="宋体" w:eastAsia="宋体" w:cs="宋体"/>
          <w:b/>
          <w:bCs/>
          <w:kern w:val="0"/>
          <w:sz w:val="24"/>
          <w:lang w:eastAsia="zh-CN" w:bidi="ar"/>
        </w:rPr>
      </w:pPr>
      <w:r>
        <w:rPr>
          <w:rFonts w:hint="eastAsia" w:ascii="宋体" w:hAnsi="宋体"/>
          <w:sz w:val="24"/>
          <w:lang w:bidi="ar"/>
        </w:rPr>
        <w:t>项目名称：</w:t>
      </w:r>
      <w:r>
        <w:rPr>
          <w:rFonts w:hint="eastAsia" w:ascii="宋体" w:hAnsi="宋体"/>
          <w:sz w:val="24"/>
          <w:lang w:eastAsia="zh-CN" w:bidi="ar"/>
        </w:rPr>
        <w:t>白云山校区国际学院公共区域局部修缮项目</w:t>
      </w:r>
    </w:p>
    <w:tbl>
      <w:tblPr>
        <w:tblStyle w:val="68"/>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7"/>
        <w:gridCol w:w="2246"/>
        <w:gridCol w:w="4006"/>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jc w:val="center"/>
        </w:trPr>
        <w:tc>
          <w:tcPr>
            <w:tcW w:w="567" w:type="dxa"/>
            <w:noWrap w:val="0"/>
            <w:vAlign w:val="center"/>
          </w:tcPr>
          <w:p>
            <w:pPr>
              <w:widowControl/>
              <w:spacing w:line="500" w:lineRule="exact"/>
              <w:jc w:val="left"/>
              <w:rPr>
                <w:b/>
                <w:bCs/>
                <w:color w:val="auto"/>
                <w:szCs w:val="21"/>
                <w:highlight w:val="none"/>
              </w:rPr>
            </w:pPr>
            <w:r>
              <w:rPr>
                <w:b/>
                <w:bCs/>
                <w:color w:val="auto"/>
                <w:kern w:val="0"/>
                <w:szCs w:val="21"/>
                <w:highlight w:val="none"/>
                <w:lang w:bidi="ar"/>
              </w:rPr>
              <w:t>序号</w:t>
            </w:r>
          </w:p>
        </w:tc>
        <w:tc>
          <w:tcPr>
            <w:tcW w:w="2246" w:type="dxa"/>
            <w:noWrap w:val="0"/>
            <w:vAlign w:val="center"/>
          </w:tcPr>
          <w:p>
            <w:pPr>
              <w:widowControl/>
              <w:spacing w:line="500" w:lineRule="exact"/>
              <w:jc w:val="left"/>
              <w:rPr>
                <w:b/>
                <w:bCs/>
                <w:color w:val="auto"/>
                <w:szCs w:val="21"/>
                <w:highlight w:val="none"/>
              </w:rPr>
            </w:pPr>
            <w:r>
              <w:rPr>
                <w:b/>
                <w:bCs/>
                <w:color w:val="auto"/>
                <w:kern w:val="0"/>
                <w:szCs w:val="21"/>
                <w:highlight w:val="none"/>
                <w:lang w:bidi="ar"/>
              </w:rPr>
              <w:t>材料名称、规格</w:t>
            </w:r>
          </w:p>
        </w:tc>
        <w:tc>
          <w:tcPr>
            <w:tcW w:w="4006" w:type="dxa"/>
            <w:noWrap w:val="0"/>
            <w:vAlign w:val="center"/>
          </w:tcPr>
          <w:p>
            <w:pPr>
              <w:widowControl/>
              <w:spacing w:line="500" w:lineRule="exact"/>
              <w:jc w:val="center"/>
              <w:rPr>
                <w:b/>
                <w:bCs/>
                <w:color w:val="auto"/>
                <w:kern w:val="0"/>
                <w:szCs w:val="21"/>
                <w:highlight w:val="none"/>
                <w:lang w:bidi="ar"/>
              </w:rPr>
            </w:pPr>
            <w:r>
              <w:rPr>
                <w:b/>
                <w:bCs/>
                <w:color w:val="auto"/>
                <w:kern w:val="0"/>
                <w:szCs w:val="21"/>
                <w:highlight w:val="none"/>
                <w:lang w:bidi="ar"/>
              </w:rPr>
              <w:t>参考品牌或制造厂家、型号</w:t>
            </w:r>
          </w:p>
        </w:tc>
        <w:tc>
          <w:tcPr>
            <w:tcW w:w="1772" w:type="dxa"/>
            <w:noWrap w:val="0"/>
            <w:vAlign w:val="center"/>
          </w:tcPr>
          <w:p>
            <w:pPr>
              <w:widowControl/>
              <w:spacing w:line="500" w:lineRule="exact"/>
              <w:jc w:val="center"/>
              <w:rPr>
                <w:b/>
                <w:bCs/>
                <w:color w:val="auto"/>
                <w:kern w:val="0"/>
                <w:szCs w:val="21"/>
                <w:highlight w:val="none"/>
                <w:lang w:bidi="ar"/>
              </w:rPr>
            </w:pPr>
            <w:r>
              <w:rPr>
                <w:b/>
                <w:bCs/>
                <w:color w:val="auto"/>
                <w:kern w:val="0"/>
                <w:szCs w:val="21"/>
                <w:highlight w:val="none"/>
                <w:lang w:bidi="ar"/>
              </w:rPr>
              <w:t>投标品牌、型号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atLeast"/>
          <w:jc w:val="center"/>
        </w:trPr>
        <w:tc>
          <w:tcPr>
            <w:tcW w:w="567" w:type="dxa"/>
            <w:noWrap w:val="0"/>
            <w:vAlign w:val="center"/>
          </w:tcPr>
          <w:p>
            <w:pPr>
              <w:widowControl/>
              <w:spacing w:line="500" w:lineRule="exact"/>
              <w:jc w:val="center"/>
              <w:rPr>
                <w:color w:val="auto"/>
                <w:kern w:val="0"/>
                <w:sz w:val="21"/>
                <w:szCs w:val="21"/>
                <w:highlight w:val="none"/>
                <w:lang w:bidi="ar"/>
              </w:rPr>
            </w:pPr>
            <w:r>
              <w:rPr>
                <w:color w:val="auto"/>
                <w:kern w:val="0"/>
                <w:sz w:val="21"/>
                <w:szCs w:val="21"/>
                <w:highlight w:val="none"/>
                <w:lang w:bidi="ar"/>
              </w:rPr>
              <w:t>1</w:t>
            </w:r>
          </w:p>
        </w:tc>
        <w:tc>
          <w:tcPr>
            <w:tcW w:w="2246" w:type="dxa"/>
            <w:noWrap w:val="0"/>
            <w:vAlign w:val="center"/>
          </w:tcPr>
          <w:p>
            <w:pPr>
              <w:widowControl/>
              <w:spacing w:line="500" w:lineRule="exact"/>
              <w:jc w:val="left"/>
              <w:rPr>
                <w:color w:val="auto"/>
                <w:sz w:val="21"/>
                <w:szCs w:val="21"/>
                <w:highlight w:val="none"/>
                <w:lang w:bidi="ar"/>
              </w:rPr>
            </w:pPr>
            <w:r>
              <w:rPr>
                <w:color w:val="auto"/>
                <w:kern w:val="0"/>
                <w:sz w:val="21"/>
                <w:szCs w:val="21"/>
                <w:highlight w:val="none"/>
                <w:lang w:bidi="ar"/>
              </w:rPr>
              <w:t>油漆、无机</w:t>
            </w:r>
            <w:r>
              <w:rPr>
                <w:color w:val="auto"/>
                <w:sz w:val="21"/>
                <w:szCs w:val="21"/>
                <w:highlight w:val="none"/>
              </w:rPr>
              <w:t>涂料等</w:t>
            </w:r>
          </w:p>
        </w:tc>
        <w:tc>
          <w:tcPr>
            <w:tcW w:w="4006" w:type="dxa"/>
            <w:noWrap w:val="0"/>
            <w:vAlign w:val="center"/>
          </w:tcPr>
          <w:p>
            <w:pPr>
              <w:widowControl/>
              <w:spacing w:line="500" w:lineRule="exact"/>
              <w:jc w:val="left"/>
              <w:rPr>
                <w:color w:val="auto"/>
                <w:kern w:val="0"/>
                <w:sz w:val="21"/>
                <w:szCs w:val="21"/>
                <w:highlight w:val="none"/>
                <w:lang w:bidi="ar"/>
              </w:rPr>
            </w:pPr>
            <w:r>
              <w:rPr>
                <w:color w:val="auto"/>
                <w:sz w:val="21"/>
                <w:szCs w:val="21"/>
                <w:highlight w:val="none"/>
                <w:lang w:bidi="ar"/>
              </w:rPr>
              <w:t>立邦(时时丽系列除外)、多乐士(美时丽系列除外)、大师</w:t>
            </w:r>
          </w:p>
        </w:tc>
        <w:tc>
          <w:tcPr>
            <w:tcW w:w="1772" w:type="dxa"/>
            <w:noWrap w:val="0"/>
            <w:vAlign w:val="center"/>
          </w:tcPr>
          <w:p>
            <w:pPr>
              <w:widowControl/>
              <w:spacing w:line="500" w:lineRule="exact"/>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atLeast"/>
          <w:jc w:val="center"/>
        </w:trPr>
        <w:tc>
          <w:tcPr>
            <w:tcW w:w="567" w:type="dxa"/>
            <w:noWrap w:val="0"/>
            <w:vAlign w:val="center"/>
          </w:tcPr>
          <w:p>
            <w:pPr>
              <w:widowControl/>
              <w:spacing w:line="500" w:lineRule="exact"/>
              <w:jc w:val="center"/>
              <w:rPr>
                <w:color w:val="auto"/>
                <w:kern w:val="0"/>
                <w:sz w:val="21"/>
                <w:szCs w:val="21"/>
                <w:highlight w:val="none"/>
                <w:lang w:bidi="ar"/>
              </w:rPr>
            </w:pPr>
            <w:r>
              <w:rPr>
                <w:color w:val="auto"/>
                <w:kern w:val="0"/>
                <w:sz w:val="21"/>
                <w:szCs w:val="21"/>
                <w:highlight w:val="none"/>
                <w:lang w:bidi="ar"/>
              </w:rPr>
              <w:t>2</w:t>
            </w:r>
          </w:p>
        </w:tc>
        <w:tc>
          <w:tcPr>
            <w:tcW w:w="2246" w:type="dxa"/>
            <w:noWrap w:val="0"/>
            <w:vAlign w:val="center"/>
          </w:tcPr>
          <w:p>
            <w:pPr>
              <w:spacing w:line="500" w:lineRule="exact"/>
              <w:rPr>
                <w:color w:val="auto"/>
                <w:sz w:val="21"/>
                <w:szCs w:val="21"/>
                <w:highlight w:val="none"/>
              </w:rPr>
            </w:pPr>
            <w:r>
              <w:rPr>
                <w:color w:val="auto"/>
                <w:sz w:val="21"/>
                <w:szCs w:val="21"/>
                <w:highlight w:val="none"/>
              </w:rPr>
              <w:t>腻子粉</w:t>
            </w:r>
          </w:p>
        </w:tc>
        <w:tc>
          <w:tcPr>
            <w:tcW w:w="4006" w:type="dxa"/>
            <w:noWrap w:val="0"/>
            <w:vAlign w:val="center"/>
          </w:tcPr>
          <w:p>
            <w:pPr>
              <w:widowControl/>
              <w:spacing w:line="500" w:lineRule="exact"/>
              <w:jc w:val="left"/>
              <w:rPr>
                <w:color w:val="auto"/>
                <w:sz w:val="21"/>
                <w:szCs w:val="21"/>
                <w:highlight w:val="none"/>
              </w:rPr>
            </w:pPr>
            <w:r>
              <w:rPr>
                <w:color w:val="auto"/>
                <w:kern w:val="0"/>
                <w:sz w:val="21"/>
                <w:szCs w:val="21"/>
                <w:highlight w:val="none"/>
                <w:lang w:bidi="ar"/>
              </w:rPr>
              <w:t>立邦、美巢、德高</w:t>
            </w:r>
          </w:p>
        </w:tc>
        <w:tc>
          <w:tcPr>
            <w:tcW w:w="1772" w:type="dxa"/>
            <w:noWrap w:val="0"/>
            <w:vAlign w:val="center"/>
          </w:tcPr>
          <w:p>
            <w:pPr>
              <w:widowControl/>
              <w:spacing w:line="500" w:lineRule="exact"/>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atLeast"/>
          <w:jc w:val="center"/>
        </w:trPr>
        <w:tc>
          <w:tcPr>
            <w:tcW w:w="567" w:type="dxa"/>
            <w:noWrap w:val="0"/>
            <w:vAlign w:val="center"/>
          </w:tcPr>
          <w:p>
            <w:pPr>
              <w:widowControl/>
              <w:spacing w:line="500" w:lineRule="exact"/>
              <w:jc w:val="center"/>
              <w:rPr>
                <w:strike/>
                <w:color w:val="auto"/>
                <w:kern w:val="0"/>
                <w:sz w:val="21"/>
                <w:szCs w:val="21"/>
                <w:highlight w:val="none"/>
                <w:lang w:bidi="ar"/>
              </w:rPr>
            </w:pPr>
            <w:r>
              <w:rPr>
                <w:color w:val="auto"/>
                <w:kern w:val="0"/>
                <w:sz w:val="21"/>
                <w:szCs w:val="21"/>
                <w:highlight w:val="none"/>
                <w:lang w:bidi="ar"/>
              </w:rPr>
              <w:t>3</w:t>
            </w:r>
          </w:p>
        </w:tc>
        <w:tc>
          <w:tcPr>
            <w:tcW w:w="2246" w:type="dxa"/>
            <w:noWrap w:val="0"/>
            <w:vAlign w:val="center"/>
          </w:tcPr>
          <w:p>
            <w:pPr>
              <w:pStyle w:val="62"/>
              <w:spacing w:before="0" w:beforeAutospacing="0" w:after="0" w:afterAutospacing="0"/>
              <w:rPr>
                <w:rFonts w:ascii="Times New Roman" w:hAnsi="Times New Roman"/>
                <w:strike/>
                <w:color w:val="auto"/>
                <w:sz w:val="21"/>
                <w:szCs w:val="21"/>
                <w:highlight w:val="none"/>
                <w:lang w:bidi="ar"/>
              </w:rPr>
            </w:pPr>
            <w:r>
              <w:rPr>
                <w:rFonts w:ascii="Times New Roman" w:hAnsi="Times New Roman"/>
                <w:color w:val="auto"/>
                <w:sz w:val="21"/>
                <w:szCs w:val="21"/>
                <w:highlight w:val="none"/>
              </w:rPr>
              <w:t>防水材料</w:t>
            </w:r>
          </w:p>
        </w:tc>
        <w:tc>
          <w:tcPr>
            <w:tcW w:w="4006" w:type="dxa"/>
            <w:noWrap w:val="0"/>
            <w:vAlign w:val="center"/>
          </w:tcPr>
          <w:p>
            <w:pPr>
              <w:widowControl/>
              <w:spacing w:line="500" w:lineRule="exact"/>
              <w:jc w:val="left"/>
              <w:rPr>
                <w:strike/>
                <w:color w:val="auto"/>
                <w:kern w:val="0"/>
                <w:sz w:val="21"/>
                <w:szCs w:val="21"/>
                <w:highlight w:val="none"/>
                <w:lang w:bidi="ar"/>
              </w:rPr>
            </w:pPr>
            <w:r>
              <w:rPr>
                <w:color w:val="auto"/>
                <w:sz w:val="21"/>
                <w:szCs w:val="21"/>
                <w:highlight w:val="none"/>
              </w:rPr>
              <w:t>科顺防水科技股份有限公司、广州鲁班建材有限公司、德高、</w:t>
            </w:r>
            <w:r>
              <w:rPr>
                <w:color w:val="auto"/>
                <w:kern w:val="0"/>
                <w:sz w:val="21"/>
                <w:szCs w:val="21"/>
                <w:highlight w:val="none"/>
                <w:lang w:bidi="ar"/>
              </w:rPr>
              <w:t>禹王(防水)</w:t>
            </w:r>
          </w:p>
        </w:tc>
        <w:tc>
          <w:tcPr>
            <w:tcW w:w="1772" w:type="dxa"/>
            <w:noWrap w:val="0"/>
            <w:vAlign w:val="center"/>
          </w:tcPr>
          <w:p>
            <w:pPr>
              <w:widowControl/>
              <w:spacing w:line="500" w:lineRule="exact"/>
              <w:jc w:val="left"/>
              <w:rPr>
                <w:strike/>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6" w:hRule="atLeast"/>
          <w:jc w:val="center"/>
        </w:trPr>
        <w:tc>
          <w:tcPr>
            <w:tcW w:w="567" w:type="dxa"/>
            <w:noWrap w:val="0"/>
            <w:vAlign w:val="center"/>
          </w:tcPr>
          <w:p>
            <w:pPr>
              <w:widowControl/>
              <w:spacing w:line="500" w:lineRule="exact"/>
              <w:jc w:val="center"/>
              <w:rPr>
                <w:color w:val="auto"/>
                <w:kern w:val="0"/>
                <w:sz w:val="21"/>
                <w:szCs w:val="21"/>
                <w:highlight w:val="none"/>
                <w:lang w:bidi="ar"/>
              </w:rPr>
            </w:pPr>
            <w:r>
              <w:rPr>
                <w:color w:val="auto"/>
                <w:kern w:val="0"/>
                <w:sz w:val="21"/>
                <w:szCs w:val="21"/>
                <w:highlight w:val="none"/>
                <w:lang w:bidi="ar"/>
              </w:rPr>
              <w:t>4</w:t>
            </w:r>
          </w:p>
        </w:tc>
        <w:tc>
          <w:tcPr>
            <w:tcW w:w="2246" w:type="dxa"/>
            <w:noWrap w:val="0"/>
            <w:vAlign w:val="center"/>
          </w:tcPr>
          <w:p>
            <w:pPr>
              <w:widowControl/>
              <w:spacing w:line="500" w:lineRule="exact"/>
              <w:jc w:val="left"/>
              <w:rPr>
                <w:color w:val="auto"/>
                <w:kern w:val="0"/>
                <w:sz w:val="21"/>
                <w:szCs w:val="21"/>
                <w:highlight w:val="none"/>
                <w:lang w:bidi="ar"/>
              </w:rPr>
            </w:pPr>
            <w:r>
              <w:rPr>
                <w:color w:val="auto"/>
                <w:sz w:val="21"/>
                <w:szCs w:val="21"/>
                <w:highlight w:val="none"/>
              </w:rPr>
              <w:t>塑料管</w:t>
            </w:r>
          </w:p>
        </w:tc>
        <w:tc>
          <w:tcPr>
            <w:tcW w:w="4006" w:type="dxa"/>
            <w:noWrap w:val="0"/>
            <w:vAlign w:val="center"/>
          </w:tcPr>
          <w:p>
            <w:pPr>
              <w:rPr>
                <w:color w:val="auto"/>
                <w:sz w:val="21"/>
                <w:szCs w:val="21"/>
                <w:highlight w:val="none"/>
                <w:u w:val="single"/>
              </w:rPr>
            </w:pPr>
            <w:r>
              <w:rPr>
                <w:color w:val="auto"/>
                <w:kern w:val="0"/>
                <w:sz w:val="21"/>
                <w:szCs w:val="21"/>
                <w:highlight w:val="none"/>
                <w:lang w:bidi="ar"/>
              </w:rPr>
              <w:t>广东联塑科技实业有限公司、广东深联实业有限公司、广东德塑科技集团有限公司、</w:t>
            </w:r>
            <w:r>
              <w:rPr>
                <w:color w:val="auto"/>
                <w:kern w:val="0"/>
                <w:sz w:val="21"/>
                <w:szCs w:val="21"/>
                <w:highlight w:val="none"/>
              </w:rPr>
              <w:t>广东雄塑科技实业有限公司</w:t>
            </w:r>
          </w:p>
        </w:tc>
        <w:tc>
          <w:tcPr>
            <w:tcW w:w="1772" w:type="dxa"/>
            <w:noWrap w:val="0"/>
            <w:vAlign w:val="center"/>
          </w:tcPr>
          <w:p>
            <w:pPr>
              <w:widowControl/>
              <w:spacing w:line="500" w:lineRule="exact"/>
              <w:jc w:val="left"/>
              <w:rPr>
                <w:color w:val="auto"/>
                <w:szCs w:val="21"/>
                <w:highlight w:val="none"/>
                <w:lang w:bidi="ar"/>
              </w:rPr>
            </w:pPr>
          </w:p>
        </w:tc>
      </w:tr>
    </w:tbl>
    <w:p>
      <w:pPr>
        <w:widowControl/>
        <w:spacing w:line="440" w:lineRule="exact"/>
        <w:ind w:firstLine="480" w:firstLineChars="200"/>
        <w:rPr>
          <w:rFonts w:ascii="宋体" w:hAnsi="宋体" w:cs="宋体"/>
          <w:sz w:val="24"/>
        </w:rPr>
      </w:pPr>
      <w:r>
        <w:rPr>
          <w:rFonts w:hint="eastAsia" w:ascii="宋体" w:hAnsi="宋体" w:cs="宋体"/>
          <w:sz w:val="24"/>
        </w:rPr>
        <w:t>注</w:t>
      </w:r>
      <w:r>
        <w:rPr>
          <w:rFonts w:ascii="宋体" w:hAnsi="宋体" w:cs="宋体"/>
          <w:sz w:val="24"/>
        </w:rPr>
        <w:t>：</w:t>
      </w:r>
      <w:r>
        <w:rPr>
          <w:rFonts w:hint="eastAsia" w:ascii="宋体" w:hAnsi="宋体" w:cs="宋体"/>
          <w:sz w:val="24"/>
        </w:rPr>
        <w:t>1、若投标人在报价文件中未有明确选用或填报使用哪个品牌的，发包人有权在项目实施期间随机选用表格中任一参考品牌、型号材料作为实际供应材料，且成交供应价格不予变化。</w:t>
      </w:r>
    </w:p>
    <w:p>
      <w:pPr>
        <w:widowControl/>
        <w:spacing w:line="440" w:lineRule="exact"/>
        <w:ind w:firstLine="480" w:firstLineChars="200"/>
        <w:rPr>
          <w:rFonts w:ascii="宋体" w:hAnsi="宋体" w:cs="宋体"/>
          <w:sz w:val="24"/>
        </w:rPr>
      </w:pPr>
      <w:r>
        <w:rPr>
          <w:rFonts w:hint="eastAsia" w:ascii="宋体" w:hAnsi="宋体" w:cs="宋体"/>
          <w:sz w:val="24"/>
        </w:rPr>
        <w:t>2、上述品牌的规格及型号，具体参照工程量清单及施工图纸。</w:t>
      </w:r>
    </w:p>
    <w:p>
      <w:pPr>
        <w:spacing w:line="440" w:lineRule="exact"/>
        <w:ind w:firstLine="480" w:firstLineChars="200"/>
        <w:rPr>
          <w:sz w:val="24"/>
        </w:rPr>
      </w:pPr>
      <w:r>
        <w:rPr>
          <w:rFonts w:hint="eastAsia" w:ascii="宋体" w:hAnsi="宋体"/>
          <w:sz w:val="24"/>
        </w:rPr>
        <w:t xml:space="preserve">3、 </w:t>
      </w:r>
      <w:r>
        <w:rPr>
          <w:rFonts w:hint="eastAsia" w:ascii="宋体" w:hAnsi="宋体"/>
          <w:b/>
          <w:bCs/>
          <w:sz w:val="24"/>
        </w:rPr>
        <w:t>上述品牌的规格及型号如市场因供货原因不能满足，则发包人有权在项目实施期间选用表格中任一参考品牌（以产品生产日期为界定，为202</w:t>
      </w:r>
      <w:r>
        <w:rPr>
          <w:rFonts w:hint="eastAsia" w:ascii="宋体" w:hAnsi="宋体"/>
          <w:b/>
          <w:bCs/>
          <w:sz w:val="24"/>
          <w:lang w:val="en-US" w:eastAsia="zh-CN"/>
        </w:rPr>
        <w:t>3</w:t>
      </w:r>
      <w:r>
        <w:rPr>
          <w:rFonts w:hint="eastAsia" w:ascii="宋体" w:hAnsi="宋体"/>
          <w:b/>
          <w:bCs/>
          <w:sz w:val="24"/>
        </w:rPr>
        <w:t>年</w:t>
      </w:r>
      <w:r>
        <w:rPr>
          <w:rFonts w:hint="eastAsia" w:ascii="宋体" w:hAnsi="宋体"/>
          <w:b/>
          <w:bCs/>
          <w:sz w:val="24"/>
          <w:lang w:val="en-US" w:eastAsia="zh-CN"/>
        </w:rPr>
        <w:t>1</w:t>
      </w:r>
      <w:r>
        <w:rPr>
          <w:rFonts w:hint="eastAsia" w:ascii="宋体" w:hAnsi="宋体"/>
          <w:b/>
          <w:bCs/>
          <w:sz w:val="24"/>
        </w:rPr>
        <w:t>月后上市新产品），且成交供应价格不予变化。</w:t>
      </w:r>
    </w:p>
    <w:p>
      <w:pPr>
        <w:spacing w:line="440" w:lineRule="exact"/>
        <w:ind w:firstLine="482" w:firstLineChars="200"/>
        <w:rPr>
          <w:rFonts w:ascii="宋体" w:hAnsi="宋体"/>
          <w:b/>
          <w:bCs/>
          <w:sz w:val="24"/>
        </w:rPr>
      </w:pPr>
      <w:r>
        <w:rPr>
          <w:rFonts w:hint="eastAsia" w:ascii="宋体" w:hAnsi="宋体"/>
          <w:b/>
          <w:bCs/>
          <w:sz w:val="24"/>
        </w:rPr>
        <w:t>4、投标人在《主要材料品牌选用表》中“投标品牌、型号”此列禁止出现“或相当于”等类似字眼，否则视为未响应招标文件要求。</w:t>
      </w:r>
    </w:p>
    <w:p>
      <w:pPr>
        <w:spacing w:line="440" w:lineRule="exact"/>
        <w:ind w:firstLine="482" w:firstLineChars="200"/>
        <w:rPr>
          <w:rFonts w:ascii="宋体" w:hAnsi="宋体"/>
          <w:b/>
          <w:bCs/>
          <w:sz w:val="24"/>
        </w:rPr>
      </w:pPr>
    </w:p>
    <w:p>
      <w:pPr>
        <w:widowControl/>
        <w:spacing w:line="440" w:lineRule="exact"/>
        <w:ind w:firstLine="480" w:firstLineChars="200"/>
        <w:rPr>
          <w:rFonts w:ascii="宋体" w:hAnsi="宋体" w:cs="Arial"/>
          <w:sz w:val="24"/>
        </w:rPr>
      </w:pPr>
      <w:r>
        <w:rPr>
          <w:rFonts w:hint="eastAsia" w:ascii="宋体" w:hAnsi="宋体" w:cs="Arial"/>
          <w:sz w:val="24"/>
        </w:rPr>
        <w:t xml:space="preserve">编制人（签名或盖章）：                     投标代表人（签名或盖章）：        </w:t>
      </w:r>
    </w:p>
    <w:p>
      <w:pPr>
        <w:pStyle w:val="184"/>
        <w:widowControl/>
        <w:ind w:firstLine="5760" w:firstLineChars="2400"/>
      </w:pPr>
      <w:r>
        <w:rPr>
          <w:rFonts w:hint="eastAsia" w:ascii="宋体" w:hAnsi="宋体" w:cs="Arial"/>
          <w:spacing w:val="0"/>
        </w:rPr>
        <w:t>日期：    年   月   日</w:t>
      </w:r>
    </w:p>
    <w:p>
      <w:pPr>
        <w:pStyle w:val="3"/>
        <w:keepLines w:val="0"/>
        <w:tabs>
          <w:tab w:val="left" w:pos="851"/>
        </w:tabs>
        <w:spacing w:after="120" w:line="360" w:lineRule="auto"/>
        <w:ind w:left="0" w:leftChars="0" w:firstLine="100" w:firstLineChars="0"/>
        <w:rPr>
          <w:rFonts w:ascii="宋体" w:hAnsi="宋体"/>
          <w:sz w:val="24"/>
        </w:rPr>
      </w:pPr>
      <w:r>
        <w:rPr>
          <w:rFonts w:hint="eastAsia" w:ascii="宋体" w:hAnsi="宋体"/>
          <w:sz w:val="24"/>
        </w:rPr>
        <w:br w:type="page"/>
      </w:r>
      <w:bookmarkStart w:id="68" w:name="_Toc136009918"/>
      <w:r>
        <w:rPr>
          <w:rFonts w:hint="eastAsia" w:ascii="宋体" w:hAnsi="宋体"/>
          <w:sz w:val="24"/>
        </w:rPr>
        <w:t>附件3：施工合同范本</w:t>
      </w:r>
      <w:bookmarkEnd w:id="66"/>
      <w:bookmarkEnd w:id="67"/>
      <w:bookmarkEnd w:id="68"/>
      <w:bookmarkStart w:id="69" w:name="_Toc73952635"/>
      <w:bookmarkStart w:id="70" w:name="_Toc190855354"/>
      <w:bookmarkStart w:id="71" w:name="_Toc180577762"/>
    </w:p>
    <w:bookmarkEnd w:id="69"/>
    <w:p>
      <w:pPr>
        <w:jc w:val="left"/>
        <w:rPr>
          <w:rFonts w:ascii="新宋体" w:hAnsi="新宋体" w:eastAsia="新宋体"/>
          <w:bCs/>
          <w:sz w:val="32"/>
          <w:szCs w:val="32"/>
        </w:rPr>
      </w:pPr>
      <w:r>
        <w:rPr>
          <w:rFonts w:ascii="新宋体" w:hAnsi="新宋体" w:eastAsia="新宋体"/>
          <w:bCs/>
          <w:sz w:val="32"/>
          <w:szCs w:val="32"/>
        </w:rPr>
        <w:t>（GF—201</w:t>
      </w:r>
      <w:r>
        <w:rPr>
          <w:rFonts w:hint="eastAsia" w:ascii="新宋体" w:hAnsi="新宋体" w:eastAsia="新宋体"/>
          <w:bCs/>
          <w:sz w:val="32"/>
          <w:szCs w:val="32"/>
        </w:rPr>
        <w:t>7</w:t>
      </w:r>
      <w:r>
        <w:rPr>
          <w:rFonts w:ascii="新宋体" w:hAnsi="新宋体" w:eastAsia="新宋体"/>
          <w:bCs/>
          <w:sz w:val="32"/>
          <w:szCs w:val="32"/>
        </w:rPr>
        <w:t>—</w:t>
      </w:r>
      <w:r>
        <w:rPr>
          <w:rFonts w:hint="eastAsia" w:ascii="新宋体" w:hAnsi="新宋体" w:eastAsia="新宋体"/>
          <w:bCs/>
          <w:sz w:val="32"/>
          <w:szCs w:val="32"/>
        </w:rPr>
        <w:t>0201）</w:t>
      </w:r>
    </w:p>
    <w:p>
      <w:pPr>
        <w:autoSpaceDE w:val="0"/>
        <w:autoSpaceDN w:val="0"/>
        <w:adjustRightInd w:val="0"/>
        <w:snapToGrid w:val="0"/>
        <w:spacing w:line="360" w:lineRule="auto"/>
        <w:ind w:firstLine="560" w:firstLineChars="200"/>
        <w:jc w:val="left"/>
        <w:rPr>
          <w:rFonts w:ascii="新宋体" w:hAnsi="新宋体" w:eastAsia="新宋体" w:cs="仿宋"/>
          <w:kern w:val="0"/>
          <w:sz w:val="28"/>
          <w:szCs w:val="28"/>
        </w:rPr>
      </w:pPr>
    </w:p>
    <w:p>
      <w:pPr>
        <w:jc w:val="center"/>
        <w:rPr>
          <w:rFonts w:ascii="新宋体" w:hAnsi="新宋体" w:eastAsia="新宋体"/>
          <w:bCs/>
          <w:sz w:val="32"/>
          <w:szCs w:val="32"/>
        </w:rPr>
      </w:pPr>
    </w:p>
    <w:p>
      <w:pPr>
        <w:jc w:val="center"/>
        <w:rPr>
          <w:rFonts w:ascii="新宋体" w:hAnsi="新宋体" w:eastAsia="新宋体"/>
          <w:bCs/>
          <w:sz w:val="32"/>
          <w:szCs w:val="32"/>
        </w:rPr>
      </w:pPr>
    </w:p>
    <w:p>
      <w:pPr>
        <w:jc w:val="center"/>
        <w:rPr>
          <w:rFonts w:ascii="新宋体" w:hAnsi="新宋体" w:eastAsia="新宋体"/>
          <w:bCs/>
          <w:sz w:val="32"/>
          <w:szCs w:val="32"/>
        </w:rPr>
      </w:pPr>
    </w:p>
    <w:p>
      <w:pPr>
        <w:jc w:val="center"/>
        <w:rPr>
          <w:rFonts w:ascii="新宋体" w:hAnsi="新宋体" w:eastAsia="新宋体"/>
          <w:b/>
          <w:sz w:val="52"/>
          <w:szCs w:val="52"/>
        </w:rPr>
      </w:pPr>
      <w:r>
        <w:rPr>
          <w:rFonts w:hint="eastAsia" w:ascii="新宋体" w:hAnsi="新宋体" w:eastAsia="新宋体" w:cs="方正小标宋简体"/>
          <w:bCs/>
          <w:sz w:val="72"/>
          <w:szCs w:val="52"/>
        </w:rPr>
        <w:t>建设工程施工合同</w:t>
      </w:r>
      <w:r>
        <w:rPr>
          <w:rFonts w:ascii="新宋体" w:hAnsi="新宋体" w:eastAsia="新宋体"/>
          <w:bCs/>
          <w:sz w:val="52"/>
          <w:szCs w:val="52"/>
        </w:rPr>
        <w:br w:type="textWrapping"/>
      </w:r>
    </w:p>
    <w:p>
      <w:pPr>
        <w:rPr>
          <w:rFonts w:ascii="新宋体" w:hAnsi="新宋体" w:eastAsia="新宋体"/>
          <w:b/>
          <w:sz w:val="52"/>
          <w:szCs w:val="52"/>
        </w:rPr>
      </w:pPr>
    </w:p>
    <w:p>
      <w:pPr>
        <w:rPr>
          <w:rFonts w:ascii="新宋体" w:hAnsi="新宋体" w:eastAsia="新宋体"/>
          <w:b/>
          <w:sz w:val="52"/>
          <w:szCs w:val="52"/>
        </w:rPr>
      </w:pPr>
      <w:r>
        <w:rPr>
          <w:rFonts w:hint="eastAsia" w:ascii="新宋体" w:hAnsi="新宋体" w:eastAsia="新宋体"/>
          <w:b/>
          <w:sz w:val="52"/>
          <w:szCs w:val="52"/>
        </w:rPr>
        <w:t xml:space="preserve"> </w:t>
      </w:r>
    </w:p>
    <w:p>
      <w:pPr>
        <w:spacing w:line="480" w:lineRule="auto"/>
        <w:ind w:left="2450" w:leftChars="500" w:hanging="1400" w:hangingChars="500"/>
        <w:rPr>
          <w:rFonts w:hint="eastAsia" w:ascii="新宋体" w:hAnsi="新宋体" w:eastAsia="新宋体" w:cs="宋体"/>
          <w:sz w:val="28"/>
          <w:szCs w:val="28"/>
          <w:u w:val="single"/>
          <w:lang w:eastAsia="zh-CN"/>
        </w:rPr>
      </w:pPr>
      <w:r>
        <w:rPr>
          <w:rFonts w:hint="eastAsia" w:ascii="新宋体" w:hAnsi="新宋体" w:eastAsia="新宋体" w:cs="宋体"/>
          <w:sz w:val="28"/>
          <w:szCs w:val="28"/>
        </w:rPr>
        <w:t>工程名称：</w:t>
      </w:r>
      <w:r>
        <w:rPr>
          <w:rFonts w:hint="eastAsia" w:ascii="新宋体" w:hAnsi="新宋体" w:eastAsia="新宋体" w:cs="宋体"/>
          <w:sz w:val="28"/>
          <w:szCs w:val="28"/>
          <w:u w:val="single"/>
          <w:lang w:eastAsia="zh-CN"/>
        </w:rPr>
        <w:t>白云山校区国际学院公共区域局部修缮项目</w:t>
      </w:r>
    </w:p>
    <w:p>
      <w:pPr>
        <w:spacing w:line="480" w:lineRule="auto"/>
        <w:ind w:firstLine="1120" w:firstLineChars="400"/>
        <w:rPr>
          <w:rFonts w:ascii="新宋体" w:hAnsi="新宋体" w:eastAsia="新宋体" w:cs="宋体"/>
          <w:sz w:val="28"/>
          <w:szCs w:val="28"/>
          <w:u w:val="single"/>
        </w:rPr>
      </w:pPr>
      <w:r>
        <w:rPr>
          <w:rFonts w:hint="eastAsia" w:ascii="新宋体" w:hAnsi="新宋体" w:eastAsia="新宋体" w:cs="宋体"/>
          <w:sz w:val="28"/>
          <w:szCs w:val="28"/>
        </w:rPr>
        <w:t>工程地点：</w:t>
      </w:r>
      <w:r>
        <w:rPr>
          <w:rFonts w:hint="eastAsia" w:ascii="新宋体" w:hAnsi="新宋体" w:eastAsia="新宋体" w:cs="宋体"/>
          <w:sz w:val="28"/>
          <w:szCs w:val="28"/>
          <w:u w:val="single"/>
        </w:rPr>
        <w:t xml:space="preserve">                   </w:t>
      </w:r>
    </w:p>
    <w:p>
      <w:pPr>
        <w:spacing w:line="480" w:lineRule="auto"/>
        <w:ind w:firstLine="1120" w:firstLineChars="400"/>
        <w:rPr>
          <w:rFonts w:ascii="新宋体" w:hAnsi="新宋体" w:eastAsia="新宋体" w:cs="宋体"/>
          <w:sz w:val="28"/>
          <w:szCs w:val="28"/>
          <w:u w:val="single"/>
        </w:rPr>
      </w:pPr>
      <w:r>
        <w:rPr>
          <w:rFonts w:hint="eastAsia" w:ascii="新宋体" w:hAnsi="新宋体" w:eastAsia="新宋体" w:cs="宋体"/>
          <w:sz w:val="28"/>
          <w:szCs w:val="28"/>
        </w:rPr>
        <w:t>合同编号：</w:t>
      </w:r>
      <w:r>
        <w:rPr>
          <w:rFonts w:hint="eastAsia" w:ascii="新宋体" w:hAnsi="新宋体" w:eastAsia="新宋体" w:cs="宋体"/>
          <w:sz w:val="28"/>
          <w:szCs w:val="28"/>
          <w:u w:val="single"/>
        </w:rPr>
        <w:t xml:space="preserve">                   </w:t>
      </w:r>
    </w:p>
    <w:p>
      <w:pPr>
        <w:spacing w:line="480" w:lineRule="auto"/>
        <w:ind w:firstLine="1120" w:firstLineChars="400"/>
        <w:rPr>
          <w:rFonts w:ascii="新宋体" w:hAnsi="新宋体" w:eastAsia="新宋体" w:cs="宋体"/>
          <w:sz w:val="28"/>
          <w:szCs w:val="28"/>
        </w:rPr>
      </w:pPr>
      <w:r>
        <w:rPr>
          <w:rFonts w:hint="eastAsia" w:ascii="新宋体" w:hAnsi="新宋体" w:eastAsia="新宋体" w:cs="宋体"/>
          <w:sz w:val="28"/>
          <w:szCs w:val="28"/>
        </w:rPr>
        <w:t>发 包 人：</w:t>
      </w:r>
      <w:r>
        <w:rPr>
          <w:rFonts w:hint="eastAsia" w:ascii="新宋体" w:hAnsi="新宋体" w:eastAsia="新宋体" w:cs="宋体"/>
          <w:sz w:val="28"/>
          <w:szCs w:val="28"/>
          <w:u w:val="single"/>
        </w:rPr>
        <w:t xml:space="preserve">广东外语外贸大学 </w:t>
      </w:r>
    </w:p>
    <w:p>
      <w:pPr>
        <w:spacing w:line="480" w:lineRule="auto"/>
        <w:ind w:firstLine="1120" w:firstLineChars="400"/>
        <w:rPr>
          <w:rFonts w:ascii="新宋体" w:hAnsi="新宋体" w:eastAsia="新宋体" w:cs="宋体"/>
          <w:sz w:val="28"/>
          <w:szCs w:val="28"/>
          <w:u w:val="single"/>
        </w:rPr>
      </w:pPr>
      <w:r>
        <w:rPr>
          <w:rFonts w:hint="eastAsia" w:ascii="新宋体" w:hAnsi="新宋体" w:eastAsia="新宋体" w:cs="宋体"/>
          <w:sz w:val="28"/>
          <w:szCs w:val="28"/>
        </w:rPr>
        <w:t>承 包 人：</w:t>
      </w:r>
      <w:r>
        <w:rPr>
          <w:rFonts w:hint="eastAsia" w:ascii="新宋体" w:hAnsi="新宋体" w:eastAsia="新宋体" w:cs="宋体"/>
          <w:sz w:val="28"/>
          <w:szCs w:val="28"/>
          <w:u w:val="single"/>
        </w:rPr>
        <w:t xml:space="preserve">                   </w:t>
      </w:r>
    </w:p>
    <w:p>
      <w:pPr>
        <w:rPr>
          <w:rFonts w:ascii="新宋体" w:hAnsi="新宋体" w:eastAsia="新宋体" w:cs="宋体"/>
          <w:sz w:val="28"/>
          <w:szCs w:val="28"/>
        </w:rPr>
      </w:pPr>
    </w:p>
    <w:p>
      <w:pPr>
        <w:rPr>
          <w:rFonts w:ascii="新宋体" w:hAnsi="新宋体" w:eastAsia="新宋体"/>
          <w:b/>
          <w:sz w:val="28"/>
          <w:szCs w:val="28"/>
        </w:rPr>
      </w:pPr>
    </w:p>
    <w:p>
      <w:pPr>
        <w:rPr>
          <w:rFonts w:ascii="新宋体" w:hAnsi="新宋体" w:eastAsia="新宋体"/>
          <w:b/>
          <w:sz w:val="28"/>
          <w:szCs w:val="28"/>
        </w:rPr>
      </w:pPr>
    </w:p>
    <w:p>
      <w:pPr>
        <w:rPr>
          <w:rFonts w:ascii="新宋体" w:hAnsi="新宋体" w:eastAsia="新宋体"/>
          <w:b/>
          <w:sz w:val="28"/>
          <w:szCs w:val="28"/>
        </w:rPr>
      </w:pPr>
    </w:p>
    <w:p>
      <w:pPr>
        <w:rPr>
          <w:rFonts w:ascii="新宋体" w:hAnsi="新宋体" w:eastAsia="新宋体"/>
          <w:b/>
          <w:sz w:val="28"/>
          <w:szCs w:val="28"/>
        </w:rPr>
      </w:pPr>
    </w:p>
    <w:p>
      <w:pPr>
        <w:rPr>
          <w:rFonts w:ascii="新宋体" w:hAnsi="新宋体" w:eastAsia="新宋体"/>
          <w:b/>
          <w:sz w:val="28"/>
          <w:szCs w:val="28"/>
        </w:rPr>
      </w:pPr>
    </w:p>
    <w:p>
      <w:pPr>
        <w:rPr>
          <w:rFonts w:ascii="新宋体" w:hAnsi="新宋体" w:eastAsia="新宋体"/>
          <w:b/>
          <w:sz w:val="28"/>
          <w:szCs w:val="28"/>
        </w:rPr>
      </w:pPr>
    </w:p>
    <w:p>
      <w:pPr>
        <w:rPr>
          <w:rFonts w:ascii="新宋体" w:hAnsi="新宋体" w:eastAsia="新宋体"/>
          <w:b/>
          <w:sz w:val="28"/>
          <w:szCs w:val="28"/>
        </w:rPr>
      </w:pPr>
    </w:p>
    <w:p>
      <w:pPr>
        <w:ind w:right="2719" w:rightChars="1295" w:firstLine="2940" w:firstLineChars="1400"/>
        <w:rPr>
          <w:rFonts w:ascii="新宋体" w:hAnsi="新宋体" w:eastAsia="新宋体"/>
          <w:b/>
          <w:sz w:val="32"/>
          <w:szCs w:val="28"/>
        </w:rPr>
      </w:pPr>
      <w:r>
        <w:rPr>
          <w:rFonts w:ascii="新宋体" w:hAnsi="新宋体" w:eastAsia="新宋体"/>
        </w:rPr>
        <mc:AlternateContent>
          <mc:Choice Requires="wps">
            <w:drawing>
              <wp:anchor distT="0" distB="0" distL="114300" distR="114300" simplePos="0" relativeHeight="251662336" behindDoc="0" locked="0" layoutInCell="1" allowOverlap="1">
                <wp:simplePos x="0" y="0"/>
                <wp:positionH relativeFrom="column">
                  <wp:posOffset>3815080</wp:posOffset>
                </wp:positionH>
                <wp:positionV relativeFrom="paragraph">
                  <wp:posOffset>10795</wp:posOffset>
                </wp:positionV>
                <wp:extent cx="723900" cy="522605"/>
                <wp:effectExtent l="0" t="0" r="19050" b="1143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723900" cy="522294"/>
                        </a:xfrm>
                        <a:prstGeom prst="rect">
                          <a:avLst/>
                        </a:prstGeom>
                        <a:noFill/>
                        <a:ln w="9525">
                          <a:solidFill>
                            <a:srgbClr val="FFFFFF"/>
                          </a:solidFill>
                          <a:miter lim="800000"/>
                        </a:ln>
                      </wps:spPr>
                      <wps:txbx>
                        <w:txbxContent>
                          <w:p>
                            <w:pPr>
                              <w:rPr>
                                <w:b/>
                                <w:bCs/>
                                <w:sz w:val="32"/>
                              </w:rPr>
                            </w:pPr>
                            <w:r>
                              <w:rPr>
                                <w:rFonts w:hint="eastAsia"/>
                                <w:b/>
                                <w:bCs/>
                                <w:sz w:val="32"/>
                              </w:rPr>
                              <w:t>制定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0.4pt;margin-top:0.85pt;height:41.15pt;width:57pt;z-index:251662336;mso-width-relative:page;mso-height-relative:page;" filled="f" stroked="t" coordsize="21600,21600" o:gfxdata="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dfkYNYAAAAIAQAADwAAAAAAAAABACAAAAAiAAAAZHJz&#10;L2Rvd25yZXYueG1sUEsBAhQAFAAAAAgAh07iQKMPTMc/AgAAXQQAAA4AAAAAAAAAAQAgAAAAJQEA&#10;AGRycy9lMm9Eb2MueG1sUEsFBgAAAAAGAAYAWQEAANYFAAAAAA==&#10;">
                <v:fill on="f" focussize="0,0"/>
                <v:stroke color="#FFFFFF" miterlimit="8"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ascii="新宋体" w:hAnsi="新宋体" w:eastAsia="新宋体"/>
        </w:rPr>
        <mc:AlternateContent>
          <mc:Choice Requires="wps">
            <w:drawing>
              <wp:anchor distT="0" distB="0" distL="114300" distR="114300" simplePos="0" relativeHeight="251661312" behindDoc="0" locked="0" layoutInCell="1" allowOverlap="1">
                <wp:simplePos x="0" y="0"/>
                <wp:positionH relativeFrom="column">
                  <wp:posOffset>4608195</wp:posOffset>
                </wp:positionH>
                <wp:positionV relativeFrom="paragraph">
                  <wp:posOffset>120015</wp:posOffset>
                </wp:positionV>
                <wp:extent cx="723900" cy="457200"/>
                <wp:effectExtent l="7620" t="6350" r="11430"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w="9525">
                          <a:solidFill>
                            <a:srgbClr val="FFFFFF"/>
                          </a:solidFill>
                          <a:miter lim="800000"/>
                        </a:ln>
                      </wps:spPr>
                      <wps:txbx>
                        <w:txbxContent>
                          <w:p>
                            <w:pPr>
                              <w:pStyle w:val="40"/>
                            </w:pPr>
                            <w:r>
                              <w:rPr>
                                <w:rFonts w:hint="eastAsia"/>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2.85pt;margin-top:9.45pt;height:36pt;width:57pt;z-index:251661312;mso-width-relative:page;mso-height-relative:page;" filled="f" stroked="t" coordsize="21600,21600" o:gfxdata="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89hFGNgAAAAJAQAADwAAAAAAAAABACAAAAAiAAAAZHJz&#10;L2Rvd25yZXYueG1sUEsBAhQAFAAAAAgAh07iQDdWV/o9AgAAXQQAAA4AAAAAAAAAAQAgAAAAJwEA&#10;AGRycy9lMm9Eb2MueG1sUEsFBgAAAAAGAAYAWQEAANYFAAAAAA==&#10;">
                <v:fill on="f" focussize="0,0"/>
                <v:stroke color="#FFFFFF" miterlimit="8" joinstyle="miter"/>
                <v:imagedata o:title=""/>
                <o:lock v:ext="edit" aspectratio="f"/>
                <v:textbox>
                  <w:txbxContent>
                    <w:p>
                      <w:pPr>
                        <w:pStyle w:val="40"/>
                      </w:pPr>
                      <w:r>
                        <w:rPr>
                          <w:rFonts w:hint="eastAsia"/>
                        </w:rPr>
                        <w:t xml:space="preserve"> </w:t>
                      </w:r>
                    </w:p>
                  </w:txbxContent>
                </v:textbox>
              </v:shape>
            </w:pict>
          </mc:Fallback>
        </mc:AlternateContent>
      </w:r>
      <w:r>
        <w:rPr>
          <w:rFonts w:ascii="新宋体" w:hAnsi="新宋体" w:eastAsia="新宋体"/>
          <w:b/>
          <w:sz w:val="32"/>
          <w:szCs w:val="28"/>
        </w:rPr>
        <w:t>住房</w:t>
      </w:r>
      <w:r>
        <w:rPr>
          <w:rFonts w:hint="eastAsia" w:ascii="新宋体" w:hAnsi="新宋体" w:eastAsia="新宋体"/>
          <w:b/>
          <w:sz w:val="32"/>
          <w:szCs w:val="28"/>
        </w:rPr>
        <w:t>和</w:t>
      </w:r>
      <w:r>
        <w:rPr>
          <w:rFonts w:ascii="新宋体" w:hAnsi="新宋体" w:eastAsia="新宋体"/>
          <w:b/>
          <w:sz w:val="32"/>
          <w:szCs w:val="28"/>
        </w:rPr>
        <w:t>城乡建设部</w:t>
      </w:r>
    </w:p>
    <w:p>
      <w:pPr>
        <w:ind w:right="2719" w:rightChars="1295"/>
        <w:jc w:val="center"/>
        <w:rPr>
          <w:rFonts w:ascii="新宋体" w:hAnsi="新宋体" w:eastAsia="新宋体"/>
          <w:b/>
          <w:sz w:val="32"/>
          <w:szCs w:val="28"/>
        </w:rPr>
      </w:pPr>
      <w:r>
        <w:rPr>
          <w:rFonts w:hint="eastAsia" w:ascii="新宋体" w:hAnsi="新宋体" w:eastAsia="新宋体"/>
          <w:b/>
          <w:sz w:val="32"/>
          <w:szCs w:val="28"/>
        </w:rPr>
        <w:t xml:space="preserve">              </w:t>
      </w:r>
      <w:r>
        <w:rPr>
          <w:rFonts w:ascii="新宋体" w:hAnsi="新宋体" w:eastAsia="新宋体"/>
          <w:b/>
          <w:sz w:val="32"/>
          <w:szCs w:val="28"/>
        </w:rPr>
        <w:t>国家工商行政管理总局</w:t>
      </w:r>
    </w:p>
    <w:p>
      <w:pPr>
        <w:numPr>
          <w:ilvl w:val="0"/>
          <w:numId w:val="5"/>
        </w:numPr>
        <w:jc w:val="center"/>
        <w:rPr>
          <w:rFonts w:ascii="新宋体" w:hAnsi="新宋体" w:eastAsia="新宋体" w:cs="仿宋_GB2312"/>
          <w:sz w:val="44"/>
          <w:szCs w:val="44"/>
        </w:rPr>
        <w:sectPr>
          <w:headerReference r:id="rId12" w:type="default"/>
          <w:headerReference r:id="rId13" w:type="even"/>
          <w:footerReference r:id="rId14" w:type="even"/>
          <w:pgSz w:w="11907" w:h="16834"/>
          <w:pgMar w:top="1418" w:right="1134" w:bottom="1418" w:left="1247" w:header="850" w:footer="850" w:gutter="0"/>
          <w:cols w:space="720" w:num="1"/>
          <w:titlePg/>
          <w:docGrid w:linePitch="287" w:charSpace="-3527"/>
        </w:sectPr>
      </w:pPr>
      <w:bookmarkStart w:id="72" w:name="_Toc296503025"/>
      <w:bookmarkStart w:id="73" w:name="_Toc351203480"/>
      <w:bookmarkStart w:id="74" w:name="_Toc296890982"/>
    </w:p>
    <w:p>
      <w:pPr>
        <w:spacing w:line="400" w:lineRule="exact"/>
        <w:jc w:val="center"/>
        <w:rPr>
          <w:rFonts w:ascii="新宋体" w:hAnsi="新宋体" w:eastAsia="新宋体" w:cs="仿宋_GB2312"/>
          <w:b/>
          <w:bCs/>
          <w:sz w:val="32"/>
          <w:szCs w:val="32"/>
        </w:rPr>
      </w:pPr>
      <w:r>
        <w:rPr>
          <w:rFonts w:hint="eastAsia" w:ascii="新宋体" w:hAnsi="新宋体" w:eastAsia="新宋体" w:cs="仿宋_GB2312"/>
          <w:b/>
          <w:bCs/>
          <w:sz w:val="32"/>
          <w:szCs w:val="32"/>
        </w:rPr>
        <w:t>第一部分 合同协议书</w:t>
      </w:r>
      <w:bookmarkEnd w:id="72"/>
      <w:bookmarkEnd w:id="73"/>
      <w:bookmarkEnd w:id="74"/>
    </w:p>
    <w:p>
      <w:pPr>
        <w:spacing w:line="400" w:lineRule="exact"/>
        <w:jc w:val="center"/>
        <w:rPr>
          <w:rFonts w:ascii="新宋体" w:hAnsi="新宋体" w:eastAsia="新宋体" w:cs="仿宋_GB2312"/>
          <w:b/>
          <w:sz w:val="28"/>
          <w:szCs w:val="28"/>
        </w:rPr>
      </w:pPr>
    </w:p>
    <w:p>
      <w:pPr>
        <w:overflowPunct w:val="0"/>
        <w:topLinePunct/>
        <w:spacing w:line="360" w:lineRule="auto"/>
        <w:ind w:firstLine="482" w:firstLineChars="200"/>
        <w:rPr>
          <w:rFonts w:ascii="新宋体" w:hAnsi="新宋体" w:eastAsia="新宋体" w:cs="仿宋_GB2312"/>
          <w:b/>
          <w:sz w:val="24"/>
          <w:u w:val="single"/>
        </w:rPr>
      </w:pPr>
      <w:r>
        <w:rPr>
          <w:rFonts w:hint="eastAsia" w:ascii="新宋体" w:hAnsi="新宋体" w:eastAsia="新宋体" w:cs="仿宋_GB2312"/>
          <w:b/>
          <w:sz w:val="24"/>
        </w:rPr>
        <w:t>发包人（全称）：</w:t>
      </w:r>
      <w:r>
        <w:rPr>
          <w:rFonts w:hint="eastAsia" w:ascii="新宋体" w:hAnsi="新宋体" w:eastAsia="新宋体" w:cs="仿宋_GB2312"/>
          <w:b/>
          <w:sz w:val="24"/>
          <w:u w:val="single"/>
        </w:rPr>
        <w:t>广东外语外贸大学</w:t>
      </w:r>
    </w:p>
    <w:p>
      <w:pPr>
        <w:overflowPunct w:val="0"/>
        <w:topLinePunct/>
        <w:spacing w:line="360" w:lineRule="auto"/>
        <w:ind w:firstLine="482" w:firstLineChars="200"/>
        <w:rPr>
          <w:rFonts w:ascii="新宋体" w:hAnsi="新宋体" w:eastAsia="新宋体" w:cs="仿宋_GB2312"/>
          <w:b/>
          <w:sz w:val="24"/>
          <w:u w:val="single"/>
        </w:rPr>
      </w:pPr>
      <w:r>
        <w:rPr>
          <w:rFonts w:hint="eastAsia" w:ascii="新宋体" w:hAnsi="新宋体" w:eastAsia="新宋体" w:cs="仿宋_GB2312"/>
          <w:b/>
          <w:sz w:val="24"/>
        </w:rPr>
        <w:t>承包人（全称）：</w:t>
      </w:r>
      <w:r>
        <w:rPr>
          <w:rFonts w:hint="eastAsia" w:ascii="新宋体" w:hAnsi="新宋体" w:eastAsia="新宋体" w:cs="仿宋_GB2312"/>
          <w:b/>
          <w:sz w:val="24"/>
          <w:u w:val="single"/>
        </w:rPr>
        <w:t xml:space="preserve">                </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根据《中华人民共和国民法典》《中华人民共和国建筑法》及有关法律规定，遵循平等、自愿、公平和诚实信用的原则，双方就有关事项协商一致，共同达成如下协议：</w:t>
      </w:r>
    </w:p>
    <w:p>
      <w:pPr>
        <w:overflowPunct w:val="0"/>
        <w:topLinePunct/>
        <w:spacing w:line="360" w:lineRule="auto"/>
        <w:ind w:firstLine="480" w:firstLineChars="200"/>
        <w:rPr>
          <w:rFonts w:ascii="新宋体" w:hAnsi="新宋体" w:eastAsia="新宋体" w:cs="仿宋_GB2312"/>
          <w:sz w:val="24"/>
        </w:rPr>
      </w:pPr>
      <w:bookmarkStart w:id="75" w:name="_Toc351203481"/>
      <w:r>
        <w:rPr>
          <w:rFonts w:hint="eastAsia" w:ascii="新宋体" w:hAnsi="新宋体" w:eastAsia="新宋体" w:cs="仿宋_GB2312"/>
          <w:sz w:val="24"/>
        </w:rPr>
        <w:t>一、工程概况</w:t>
      </w:r>
      <w:bookmarkEnd w:id="75"/>
    </w:p>
    <w:p>
      <w:pPr>
        <w:overflowPunct w:val="0"/>
        <w:topLinePunct/>
        <w:spacing w:line="360" w:lineRule="auto"/>
        <w:ind w:firstLine="480" w:firstLineChars="200"/>
        <w:rPr>
          <w:rFonts w:hint="eastAsia" w:ascii="新宋体" w:hAnsi="新宋体" w:eastAsia="新宋体" w:cs="仿宋_GB2312"/>
          <w:sz w:val="24"/>
          <w:u w:val="single"/>
          <w:lang w:eastAsia="zh-CN"/>
        </w:rPr>
      </w:pPr>
      <w:r>
        <w:rPr>
          <w:rFonts w:hint="eastAsia" w:ascii="新宋体" w:hAnsi="新宋体" w:eastAsia="新宋体" w:cs="仿宋_GB2312"/>
          <w:bCs/>
          <w:sz w:val="24"/>
        </w:rPr>
        <w:t>1.工程名称</w:t>
      </w:r>
      <w:r>
        <w:rPr>
          <w:rFonts w:hint="eastAsia" w:ascii="新宋体" w:hAnsi="新宋体" w:eastAsia="新宋体" w:cs="仿宋_GB2312"/>
          <w:sz w:val="24"/>
        </w:rPr>
        <w:t>：</w:t>
      </w:r>
      <w:r>
        <w:rPr>
          <w:rFonts w:hint="eastAsia" w:ascii="新宋体" w:hAnsi="新宋体" w:eastAsia="新宋体" w:cs="仿宋_GB2312"/>
          <w:sz w:val="24"/>
          <w:u w:val="single"/>
          <w:lang w:eastAsia="zh-CN"/>
        </w:rPr>
        <w:t>白云山校区国际学院公共区域局部修缮项目</w:t>
      </w:r>
    </w:p>
    <w:p>
      <w:pPr>
        <w:overflowPunct w:val="0"/>
        <w:topLinePunct/>
        <w:spacing w:line="360" w:lineRule="auto"/>
        <w:ind w:firstLine="480" w:firstLineChars="200"/>
        <w:rPr>
          <w:rFonts w:ascii="新宋体" w:hAnsi="新宋体" w:eastAsia="新宋体" w:cs="仿宋_GB2312"/>
          <w:bCs/>
          <w:sz w:val="24"/>
        </w:rPr>
      </w:pPr>
      <w:r>
        <w:rPr>
          <w:rFonts w:hint="eastAsia" w:ascii="新宋体" w:hAnsi="新宋体" w:eastAsia="新宋体" w:cs="仿宋_GB2312"/>
          <w:bCs/>
          <w:sz w:val="24"/>
        </w:rPr>
        <w:t>2.工程地点：</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bCs/>
          <w:sz w:val="24"/>
        </w:rPr>
        <w:t>3.工程立项批准文号：</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p>
    <w:p>
      <w:pPr>
        <w:overflowPunct w:val="0"/>
        <w:topLinePunct/>
        <w:spacing w:line="360" w:lineRule="auto"/>
        <w:ind w:firstLine="480" w:firstLineChars="200"/>
        <w:rPr>
          <w:rFonts w:ascii="新宋体" w:hAnsi="新宋体" w:eastAsia="新宋体" w:cs="仿宋_GB2312"/>
          <w:bCs/>
          <w:sz w:val="24"/>
        </w:rPr>
      </w:pPr>
      <w:r>
        <w:rPr>
          <w:rFonts w:hint="eastAsia" w:ascii="新宋体" w:hAnsi="新宋体" w:eastAsia="新宋体" w:cs="仿宋_GB2312"/>
          <w:bCs/>
          <w:sz w:val="24"/>
        </w:rPr>
        <w:t>4.资金来源：</w:t>
      </w:r>
      <w:r>
        <w:rPr>
          <w:rFonts w:hint="eastAsia" w:ascii="新宋体" w:hAnsi="新宋体" w:eastAsia="新宋体" w:cs="宋体"/>
          <w:sz w:val="28"/>
          <w:szCs w:val="28"/>
          <w:u w:val="single"/>
        </w:rPr>
        <w:t xml:space="preserve">             </w:t>
      </w:r>
    </w:p>
    <w:p>
      <w:pPr>
        <w:overflowPunct w:val="0"/>
        <w:topLinePunct/>
        <w:spacing w:line="360" w:lineRule="auto"/>
        <w:ind w:firstLine="480" w:firstLineChars="200"/>
        <w:rPr>
          <w:rFonts w:ascii="新宋体" w:hAnsi="新宋体" w:eastAsia="新宋体" w:cs="仿宋_GB2312"/>
          <w:bCs/>
          <w:sz w:val="24"/>
        </w:rPr>
      </w:pPr>
      <w:r>
        <w:rPr>
          <w:rFonts w:hint="eastAsia" w:ascii="新宋体" w:hAnsi="新宋体" w:eastAsia="新宋体" w:cs="仿宋_GB2312"/>
          <w:bCs/>
          <w:sz w:val="24"/>
        </w:rPr>
        <w:t>5.概况</w:t>
      </w:r>
      <w:r>
        <w:rPr>
          <w:rFonts w:hint="eastAsia" w:ascii="新宋体" w:hAnsi="新宋体" w:eastAsia="新宋体" w:cs="仿宋_GB2312"/>
          <w:sz w:val="24"/>
        </w:rPr>
        <w:t>：</w:t>
      </w:r>
      <w:r>
        <w:rPr>
          <w:rFonts w:ascii="新宋体" w:hAnsi="新宋体" w:eastAsia="新宋体" w:cs="仿宋_GB2312"/>
          <w:sz w:val="24"/>
          <w:u w:val="single"/>
        </w:rPr>
        <w:t xml:space="preserve">           </w:t>
      </w:r>
    </w:p>
    <w:p>
      <w:pPr>
        <w:overflowPunct w:val="0"/>
        <w:topLinePunct/>
        <w:spacing w:line="360" w:lineRule="auto"/>
        <w:ind w:firstLine="480" w:firstLineChars="200"/>
        <w:rPr>
          <w:rFonts w:ascii="新宋体" w:hAnsi="新宋体" w:eastAsia="新宋体" w:cs="仿宋_GB2312"/>
          <w:bCs/>
          <w:sz w:val="24"/>
        </w:rPr>
      </w:pPr>
      <w:r>
        <w:rPr>
          <w:rFonts w:hint="eastAsia" w:ascii="新宋体" w:hAnsi="新宋体" w:eastAsia="新宋体" w:cs="仿宋_GB2312"/>
          <w:bCs/>
          <w:sz w:val="24"/>
        </w:rPr>
        <w:t>6.工程承包范围及承包方式：</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承包范围：</w:t>
      </w:r>
      <w:r>
        <w:rPr>
          <w:rFonts w:hint="eastAsia" w:ascii="新宋体" w:hAnsi="新宋体" w:eastAsia="新宋体" w:cs="仿宋_GB2312"/>
          <w:sz w:val="24"/>
          <w:u w:val="single"/>
        </w:rPr>
        <w:t>本工程施工范围为工程量清单和施工图纸所包括的内容，具体工程内容详见施工图纸及工程量清单，实际施工以发包人组织图纸会审确认的施工图为准</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u w:val="single"/>
        </w:rPr>
        <w:t>发包人根据工程实施情况或政府相关部门对该工程的相关建设要求，可能会对承包人的承包范围进行调整，承包人不得因此提出任何索赔或补偿。</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承包方式：</w:t>
      </w:r>
      <w:r>
        <w:rPr>
          <w:rFonts w:hint="eastAsia" w:ascii="新宋体" w:hAnsi="新宋体" w:eastAsia="新宋体" w:cs="仿宋_GB2312"/>
          <w:sz w:val="24"/>
          <w:u w:val="single"/>
        </w:rPr>
        <w:t>本项目采取工程量清单综合单价包干，工程量按实结算；措施项目费（含绿色施工安全防护措施费、措施其它项目费）总价包干的承包方式。结算时投标人提交余泥及废弃物外运消纳费的正规发票等相关证明材料，经审核无误后按实结算。</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二、合同工期</w:t>
      </w:r>
    </w:p>
    <w:p>
      <w:pPr>
        <w:overflowPunct w:val="0"/>
        <w:topLinePunct/>
        <w:spacing w:line="360" w:lineRule="auto"/>
        <w:ind w:firstLine="480" w:firstLineChars="200"/>
        <w:rPr>
          <w:rFonts w:ascii="新宋体" w:hAnsi="新宋体" w:eastAsia="新宋体" w:cs="仿宋_GB2312"/>
          <w:sz w:val="24"/>
        </w:rPr>
      </w:pPr>
      <w:bookmarkStart w:id="76" w:name="_Toc351203482"/>
      <w:r>
        <w:rPr>
          <w:rFonts w:hint="eastAsia" w:ascii="新宋体" w:hAnsi="新宋体" w:eastAsia="新宋体" w:cs="仿宋_GB2312"/>
          <w:sz w:val="24"/>
        </w:rPr>
        <w:t>计划开工日期</w:t>
      </w:r>
      <w:bookmarkEnd w:id="76"/>
      <w:r>
        <w:rPr>
          <w:rFonts w:hint="eastAsia" w:ascii="新宋体" w:hAnsi="新宋体" w:eastAsia="新宋体" w:cs="仿宋_GB2312"/>
          <w:sz w:val="24"/>
        </w:rPr>
        <w:t>：</w:t>
      </w:r>
      <w:r>
        <w:rPr>
          <w:rFonts w:hint="eastAsia" w:ascii="新宋体" w:hAnsi="新宋体" w:eastAsia="新宋体" w:cs="仿宋_GB2312"/>
          <w:sz w:val="24"/>
          <w:u w:val="single"/>
        </w:rPr>
        <w:t xml:space="preserve">     </w:t>
      </w:r>
      <w:r>
        <w:rPr>
          <w:rFonts w:hint="eastAsia" w:ascii="新宋体" w:hAnsi="新宋体" w:eastAsia="新宋体" w:cs="仿宋_GB2312"/>
          <w:sz w:val="24"/>
        </w:rPr>
        <w:t>年</w:t>
      </w:r>
      <w:r>
        <w:rPr>
          <w:rFonts w:hint="eastAsia" w:ascii="新宋体" w:hAnsi="新宋体" w:eastAsia="新宋体" w:cs="仿宋_GB2312"/>
          <w:sz w:val="24"/>
          <w:u w:val="single"/>
        </w:rPr>
        <w:t xml:space="preserve">    </w:t>
      </w:r>
      <w:r>
        <w:rPr>
          <w:rFonts w:hint="eastAsia" w:ascii="新宋体" w:hAnsi="新宋体" w:eastAsia="新宋体" w:cs="仿宋_GB2312"/>
          <w:sz w:val="24"/>
        </w:rPr>
        <w:t>月</w:t>
      </w:r>
      <w:r>
        <w:rPr>
          <w:rFonts w:hint="eastAsia" w:ascii="新宋体" w:hAnsi="新宋体" w:eastAsia="新宋体" w:cs="仿宋_GB2312"/>
          <w:sz w:val="24"/>
          <w:u w:val="single"/>
        </w:rPr>
        <w:t xml:space="preserve">    </w:t>
      </w:r>
      <w:r>
        <w:rPr>
          <w:rFonts w:hint="eastAsia" w:ascii="新宋体" w:hAnsi="新宋体" w:eastAsia="新宋体" w:cs="仿宋_GB2312"/>
          <w:sz w:val="24"/>
        </w:rPr>
        <w:t>日</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计划竣工日期：</w:t>
      </w:r>
      <w:r>
        <w:rPr>
          <w:rFonts w:hint="eastAsia" w:ascii="新宋体" w:hAnsi="新宋体" w:eastAsia="新宋体" w:cs="仿宋_GB2312"/>
          <w:sz w:val="24"/>
          <w:u w:val="single"/>
        </w:rPr>
        <w:t xml:space="preserve">     </w:t>
      </w:r>
      <w:r>
        <w:rPr>
          <w:rFonts w:hint="eastAsia" w:ascii="新宋体" w:hAnsi="新宋体" w:eastAsia="新宋体" w:cs="仿宋_GB2312"/>
          <w:sz w:val="24"/>
        </w:rPr>
        <w:t>年</w:t>
      </w:r>
      <w:r>
        <w:rPr>
          <w:rFonts w:hint="eastAsia" w:ascii="新宋体" w:hAnsi="新宋体" w:eastAsia="新宋体" w:cs="仿宋_GB2312"/>
          <w:sz w:val="24"/>
          <w:u w:val="single"/>
        </w:rPr>
        <w:t xml:space="preserve">    </w:t>
      </w:r>
      <w:r>
        <w:rPr>
          <w:rFonts w:hint="eastAsia" w:ascii="新宋体" w:hAnsi="新宋体" w:eastAsia="新宋体" w:cs="仿宋_GB2312"/>
          <w:sz w:val="24"/>
        </w:rPr>
        <w:t>月</w:t>
      </w:r>
      <w:r>
        <w:rPr>
          <w:rFonts w:hint="eastAsia" w:ascii="新宋体" w:hAnsi="新宋体" w:eastAsia="新宋体" w:cs="仿宋_GB2312"/>
          <w:sz w:val="24"/>
          <w:u w:val="single"/>
        </w:rPr>
        <w:t xml:space="preserve">    </w:t>
      </w:r>
      <w:r>
        <w:rPr>
          <w:rFonts w:hint="eastAsia" w:ascii="新宋体" w:hAnsi="新宋体" w:eastAsia="新宋体" w:cs="仿宋_GB2312"/>
          <w:sz w:val="24"/>
        </w:rPr>
        <w:t>日</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工期总日历天数：</w:t>
      </w:r>
      <w:r>
        <w:rPr>
          <w:rFonts w:ascii="新宋体" w:hAnsi="新宋体" w:eastAsia="新宋体" w:cs="仿宋_GB2312"/>
          <w:sz w:val="24"/>
          <w:u w:val="single"/>
        </w:rPr>
        <w:t xml:space="preserve">     </w:t>
      </w:r>
      <w:r>
        <w:rPr>
          <w:rFonts w:hint="eastAsia" w:ascii="新宋体" w:hAnsi="新宋体" w:eastAsia="新宋体" w:cs="仿宋_GB2312"/>
          <w:sz w:val="24"/>
        </w:rPr>
        <w:t>天。工期总日历天数与根据前述计划开竣工日期计算的工期天数不一致的，以工期总日历天数为准，实际开工时间以签发的开工令为准。</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三、质量标准</w:t>
      </w:r>
    </w:p>
    <w:p>
      <w:pPr>
        <w:overflowPunct w:val="0"/>
        <w:topLinePunct/>
        <w:spacing w:line="360" w:lineRule="auto"/>
        <w:ind w:firstLine="480" w:firstLineChars="200"/>
        <w:rPr>
          <w:rFonts w:ascii="新宋体" w:hAnsi="新宋体" w:eastAsia="新宋体" w:cs="仿宋_GB2312"/>
          <w:sz w:val="24"/>
        </w:rPr>
      </w:pPr>
      <w:bookmarkStart w:id="77" w:name="_Toc351203483"/>
      <w:r>
        <w:rPr>
          <w:rFonts w:hint="eastAsia" w:ascii="新宋体" w:hAnsi="新宋体" w:eastAsia="新宋体" w:cs="仿宋_GB2312"/>
          <w:sz w:val="24"/>
        </w:rPr>
        <w:t>工程质量符合</w:t>
      </w:r>
      <w:bookmarkEnd w:id="77"/>
      <w:r>
        <w:rPr>
          <w:rFonts w:hint="eastAsia" w:ascii="新宋体" w:hAnsi="新宋体" w:eastAsia="新宋体" w:cs="仿宋_GB2312"/>
          <w:sz w:val="24"/>
          <w:u w:val="single"/>
        </w:rPr>
        <w:t>《工程施工质量验收规范》的标准，必须达到合格</w:t>
      </w:r>
      <w:r>
        <w:rPr>
          <w:rFonts w:hint="eastAsia" w:ascii="新宋体" w:hAnsi="新宋体" w:eastAsia="新宋体" w:cs="仿宋_GB2312"/>
          <w:sz w:val="24"/>
        </w:rPr>
        <w:t>标准。</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四、合同价</w:t>
      </w:r>
      <w:bookmarkStart w:id="78" w:name="_Toc351203484"/>
      <w:r>
        <w:rPr>
          <w:rFonts w:hint="eastAsia" w:ascii="新宋体" w:hAnsi="新宋体" w:eastAsia="新宋体" w:cs="仿宋_GB2312"/>
          <w:sz w:val="24"/>
        </w:rPr>
        <w:t>款</w:t>
      </w:r>
      <w:r>
        <w:rPr>
          <w:rFonts w:hint="eastAsia" w:ascii="新宋体" w:hAnsi="新宋体" w:eastAsia="新宋体" w:cs="仿宋_GB2312"/>
          <w:sz w:val="24"/>
        </w:rPr>
        <w:tab/>
      </w:r>
    </w:p>
    <w:bookmarkEnd w:id="78"/>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1.签约合同价为：</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人民币（大写）</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sz w:val="24"/>
        </w:rPr>
        <w:t>（</w:t>
      </w:r>
      <w:r>
        <w:rPr>
          <w:rFonts w:ascii="新宋体" w:hAnsi="新宋体" w:eastAsia="新宋体" w:cs="仿宋_GB2312"/>
          <w:sz w:val="24"/>
        </w:rPr>
        <w:t xml:space="preserve">       </w:t>
      </w:r>
      <w:r>
        <w:rPr>
          <w:rFonts w:hint="eastAsia" w:ascii="新宋体" w:hAnsi="新宋体" w:eastAsia="新宋体" w:cs="仿宋_GB2312"/>
          <w:sz w:val="24"/>
        </w:rPr>
        <w:t>元）；</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其中：</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（1）绿色施工安全防护措施费：</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人民币（大写）</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sz w:val="24"/>
        </w:rPr>
        <w:t>（</w:t>
      </w:r>
      <w:r>
        <w:rPr>
          <w:rFonts w:ascii="新宋体" w:hAnsi="新宋体" w:eastAsia="新宋体" w:cs="仿宋_GB2312"/>
          <w:sz w:val="24"/>
        </w:rPr>
        <w:t xml:space="preserve">       </w:t>
      </w:r>
      <w:r>
        <w:rPr>
          <w:rFonts w:hint="eastAsia" w:ascii="新宋体" w:hAnsi="新宋体" w:eastAsia="新宋体" w:cs="仿宋_GB2312"/>
          <w:sz w:val="24"/>
        </w:rPr>
        <w:t>元）；</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（2）暂列金额：</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人民币（大写）</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sz w:val="24"/>
        </w:rPr>
        <w:t>（</w:t>
      </w:r>
      <w:r>
        <w:rPr>
          <w:rFonts w:ascii="新宋体" w:hAnsi="新宋体" w:eastAsia="新宋体" w:cs="仿宋_GB2312"/>
          <w:sz w:val="24"/>
        </w:rPr>
        <w:t xml:space="preserve">       </w:t>
      </w:r>
      <w:r>
        <w:rPr>
          <w:rFonts w:hint="eastAsia" w:ascii="新宋体" w:hAnsi="新宋体" w:eastAsia="新宋体" w:cs="仿宋_GB2312"/>
          <w:sz w:val="24"/>
        </w:rPr>
        <w:t>元）；</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五、项目经理</w:t>
      </w:r>
    </w:p>
    <w:p>
      <w:pPr>
        <w:overflowPunct w:val="0"/>
        <w:topLinePunct/>
        <w:spacing w:line="360" w:lineRule="auto"/>
        <w:ind w:firstLine="480" w:firstLineChars="200"/>
        <w:rPr>
          <w:rFonts w:ascii="新宋体" w:hAnsi="新宋体" w:eastAsia="新宋体" w:cs="仿宋_GB2312"/>
          <w:sz w:val="24"/>
        </w:rPr>
      </w:pPr>
      <w:bookmarkStart w:id="79" w:name="_Toc351203485"/>
      <w:r>
        <w:rPr>
          <w:rFonts w:hint="eastAsia" w:ascii="新宋体" w:hAnsi="新宋体" w:eastAsia="新宋体" w:cs="仿宋_GB2312"/>
          <w:sz w:val="24"/>
        </w:rPr>
        <w:t>承包</w:t>
      </w:r>
      <w:bookmarkEnd w:id="79"/>
      <w:r>
        <w:rPr>
          <w:rFonts w:hint="eastAsia" w:ascii="新宋体" w:hAnsi="新宋体" w:eastAsia="新宋体" w:cs="仿宋_GB2312"/>
          <w:sz w:val="24"/>
        </w:rPr>
        <w:t>人项目经理：</w:t>
      </w:r>
      <w:r>
        <w:rPr>
          <w:rFonts w:hint="eastAsia" w:ascii="新宋体" w:hAnsi="新宋体" w:eastAsia="新宋体" w:cs="仿宋_GB2312"/>
          <w:sz w:val="24"/>
          <w:u w:val="single"/>
        </w:rPr>
        <w:t>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对工程项目施工负有全面管理责任，具体详见专用条款、通用条款相关要求。</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六、合同文件构</w:t>
      </w:r>
      <w:bookmarkStart w:id="80" w:name="_Toc351203486"/>
      <w:r>
        <w:rPr>
          <w:rFonts w:hint="eastAsia" w:ascii="新宋体" w:hAnsi="新宋体" w:eastAsia="新宋体" w:cs="仿宋_GB2312"/>
          <w:sz w:val="24"/>
        </w:rPr>
        <w:t>成</w:t>
      </w:r>
    </w:p>
    <w:p>
      <w:pPr>
        <w:overflowPunct w:val="0"/>
        <w:topLinePunct/>
        <w:spacing w:line="360" w:lineRule="auto"/>
        <w:ind w:firstLine="480" w:firstLineChars="200"/>
        <w:rPr>
          <w:rFonts w:ascii="新宋体" w:hAnsi="新宋体" w:eastAsia="新宋体" w:cs="仿宋_GB2312"/>
          <w:bCs/>
          <w:sz w:val="24"/>
        </w:rPr>
      </w:pPr>
      <w:r>
        <w:rPr>
          <w:rFonts w:hint="eastAsia" w:ascii="新宋体" w:hAnsi="新宋体" w:eastAsia="新宋体" w:cs="仿宋_GB2312"/>
          <w:bCs/>
          <w:sz w:val="24"/>
        </w:rPr>
        <w:t>本协议书与下</w:t>
      </w:r>
      <w:bookmarkEnd w:id="80"/>
      <w:r>
        <w:rPr>
          <w:rFonts w:hint="eastAsia" w:ascii="新宋体" w:hAnsi="新宋体" w:eastAsia="新宋体" w:cs="仿宋_GB2312"/>
          <w:bCs/>
          <w:sz w:val="24"/>
        </w:rPr>
        <w:t>列文件一起构成合同文件：</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（1）中标通知书；</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（2）招标文件（含答疑、澄清文件等）；</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（3）投标文件；</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（4）专用合同条款及其附件；</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（5）通用合同条款；</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（6）技术标准和要求；</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（7）施工图纸；</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（8）已标价工程量清单或预算书；</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（9）其他合同文件。</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在合同订立及履行过程中形成的与合同有关文件均构成合同文件组成部分。</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上述各项合同文件包括合同当事人就该项合同文件所作出的补充和修改，属于同一类内容的文件，应以最新签署的为准。专用合同条款及其附件须经合同当事人签字或盖章。</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七、承诺</w:t>
      </w:r>
    </w:p>
    <w:p>
      <w:pPr>
        <w:overflowPunct w:val="0"/>
        <w:topLinePunct/>
        <w:spacing w:line="360" w:lineRule="auto"/>
        <w:ind w:firstLine="480" w:firstLineChars="200"/>
        <w:rPr>
          <w:rFonts w:ascii="新宋体" w:hAnsi="新宋体" w:eastAsia="新宋体" w:cs="仿宋_GB2312"/>
          <w:bCs/>
          <w:sz w:val="24"/>
        </w:rPr>
      </w:pPr>
      <w:r>
        <w:rPr>
          <w:rFonts w:hint="eastAsia" w:ascii="新宋体" w:hAnsi="新宋体" w:eastAsia="新宋体" w:cs="仿宋_GB2312"/>
          <w:bCs/>
          <w:sz w:val="24"/>
        </w:rPr>
        <w:t>1.</w:t>
      </w:r>
      <w:bookmarkStart w:id="81" w:name="_Toc351203487"/>
      <w:r>
        <w:rPr>
          <w:rFonts w:hint="eastAsia" w:ascii="新宋体" w:hAnsi="新宋体" w:eastAsia="新宋体" w:cs="仿宋_GB2312"/>
          <w:bCs/>
          <w:sz w:val="24"/>
        </w:rPr>
        <w:t>发包人向</w:t>
      </w:r>
      <w:bookmarkEnd w:id="81"/>
      <w:r>
        <w:rPr>
          <w:rFonts w:hint="eastAsia" w:ascii="新宋体" w:hAnsi="新宋体" w:eastAsia="新宋体" w:cs="仿宋_GB2312"/>
          <w:bCs/>
          <w:sz w:val="24"/>
        </w:rPr>
        <w:t>承包人承诺已阅读、理解并接受本合同所有条款，按照本合同约定的时限和方法支付工程款及其他应当支付的款项，履行本合同所约定的全部义务。</w:t>
      </w:r>
    </w:p>
    <w:p>
      <w:pPr>
        <w:overflowPunct w:val="0"/>
        <w:topLinePunct/>
        <w:spacing w:line="360" w:lineRule="auto"/>
        <w:ind w:firstLine="480" w:firstLineChars="200"/>
        <w:rPr>
          <w:rFonts w:ascii="新宋体" w:hAnsi="新宋体" w:eastAsia="新宋体" w:cs="仿宋_GB2312"/>
          <w:bCs/>
          <w:sz w:val="24"/>
        </w:rPr>
      </w:pPr>
      <w:r>
        <w:rPr>
          <w:rFonts w:hint="eastAsia" w:ascii="新宋体" w:hAnsi="新宋体" w:eastAsia="新宋体" w:cs="仿宋_GB2312"/>
          <w:bCs/>
          <w:sz w:val="24"/>
        </w:rPr>
        <w:t>2.承包人向发包人承诺已阅读、理解并接受本合同所有条款，按照本合同约定实施、完成并保修合同工程，履行本合同所约定的全部义务。</w:t>
      </w:r>
    </w:p>
    <w:p>
      <w:pPr>
        <w:overflowPunct w:val="0"/>
        <w:topLinePunct/>
        <w:spacing w:line="360" w:lineRule="auto"/>
        <w:ind w:firstLine="480" w:firstLineChars="200"/>
        <w:rPr>
          <w:rFonts w:ascii="新宋体" w:hAnsi="新宋体" w:eastAsia="新宋体" w:cs="仿宋_GB2312"/>
          <w:bCs/>
          <w:sz w:val="24"/>
        </w:rPr>
      </w:pPr>
      <w:r>
        <w:rPr>
          <w:rFonts w:hint="eastAsia" w:ascii="新宋体" w:hAnsi="新宋体" w:eastAsia="新宋体" w:cs="仿宋_GB2312"/>
          <w:bCs/>
          <w:sz w:val="24"/>
        </w:rPr>
        <w:t>3.承包人承诺按照法律规定及合同约定组织完成工程施工，确保工程质量和安全，不进行转包及违法分包，并在缺陷责任期及保修期内承担相应的工程维修责任。</w:t>
      </w:r>
    </w:p>
    <w:p>
      <w:pPr>
        <w:overflowPunct w:val="0"/>
        <w:topLinePunct/>
        <w:spacing w:line="360" w:lineRule="auto"/>
        <w:ind w:firstLine="480" w:firstLineChars="200"/>
        <w:rPr>
          <w:rFonts w:ascii="新宋体" w:hAnsi="新宋体" w:eastAsia="新宋体" w:cs="仿宋_GB2312"/>
          <w:bCs/>
          <w:sz w:val="24"/>
        </w:rPr>
      </w:pPr>
      <w:r>
        <w:rPr>
          <w:rFonts w:hint="eastAsia" w:ascii="新宋体" w:hAnsi="新宋体" w:eastAsia="新宋体" w:cs="仿宋_GB2312"/>
          <w:bCs/>
          <w:sz w:val="24"/>
        </w:rPr>
        <w:t>4.发包人和承包人通过招投标形式签订合同的，双方理解并承诺不再就同一工程另行签订与合同实质性内容相背离的协议。</w:t>
      </w:r>
    </w:p>
    <w:p>
      <w:pPr>
        <w:overflowPunct w:val="0"/>
        <w:topLinePunct/>
        <w:spacing w:line="360" w:lineRule="auto"/>
        <w:ind w:firstLine="480" w:firstLineChars="200"/>
        <w:rPr>
          <w:rFonts w:ascii="新宋体" w:hAnsi="新宋体" w:eastAsia="新宋体" w:cs="仿宋_GB2312"/>
          <w:bCs/>
          <w:sz w:val="24"/>
        </w:rPr>
      </w:pPr>
      <w:r>
        <w:rPr>
          <w:rFonts w:hint="eastAsia" w:ascii="新宋体" w:hAnsi="新宋体" w:eastAsia="新宋体" w:cs="仿宋_GB2312"/>
          <w:bCs/>
          <w:sz w:val="24"/>
        </w:rPr>
        <w:t>八、词</w:t>
      </w:r>
      <w:bookmarkStart w:id="82" w:name="_Toc351203488"/>
      <w:r>
        <w:rPr>
          <w:rFonts w:hint="eastAsia" w:ascii="新宋体" w:hAnsi="新宋体" w:eastAsia="新宋体" w:cs="仿宋_GB2312"/>
          <w:bCs/>
          <w:sz w:val="24"/>
        </w:rPr>
        <w:t>语含义</w:t>
      </w:r>
    </w:p>
    <w:p>
      <w:pPr>
        <w:overflowPunct w:val="0"/>
        <w:topLinePunct/>
        <w:spacing w:line="360" w:lineRule="auto"/>
        <w:ind w:firstLine="480" w:firstLineChars="200"/>
        <w:rPr>
          <w:rFonts w:ascii="新宋体" w:hAnsi="新宋体" w:eastAsia="新宋体" w:cs="仿宋_GB2312"/>
          <w:bCs/>
          <w:sz w:val="24"/>
        </w:rPr>
      </w:pPr>
      <w:r>
        <w:rPr>
          <w:rFonts w:hint="eastAsia" w:ascii="新宋体" w:hAnsi="新宋体" w:eastAsia="新宋体" w:cs="仿宋_GB2312"/>
          <w:bCs/>
          <w:sz w:val="24"/>
        </w:rPr>
        <w:t>本协议书中词</w:t>
      </w:r>
      <w:bookmarkEnd w:id="82"/>
      <w:r>
        <w:rPr>
          <w:rFonts w:hint="eastAsia" w:ascii="新宋体" w:hAnsi="新宋体" w:eastAsia="新宋体" w:cs="仿宋_GB2312"/>
          <w:bCs/>
          <w:sz w:val="24"/>
        </w:rPr>
        <w:t>语含义与第二部分通用合同条款中赋予的含义相同。</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九、签订地点</w:t>
      </w:r>
    </w:p>
    <w:p>
      <w:pPr>
        <w:overflowPunct w:val="0"/>
        <w:topLinePunct/>
        <w:spacing w:line="360" w:lineRule="auto"/>
        <w:ind w:firstLine="480" w:firstLineChars="200"/>
        <w:rPr>
          <w:rFonts w:ascii="新宋体" w:hAnsi="新宋体" w:eastAsia="新宋体" w:cs="仿宋_GB2312"/>
          <w:bCs/>
          <w:sz w:val="24"/>
        </w:rPr>
      </w:pPr>
      <w:bookmarkStart w:id="83" w:name="_Toc351203490"/>
      <w:r>
        <w:rPr>
          <w:rFonts w:hint="eastAsia" w:ascii="新宋体" w:hAnsi="新宋体" w:eastAsia="新宋体" w:cs="仿宋_GB2312"/>
          <w:bCs/>
          <w:sz w:val="24"/>
        </w:rPr>
        <w:t>本合同在</w:t>
      </w:r>
      <w:r>
        <w:rPr>
          <w:rFonts w:hint="eastAsia" w:ascii="新宋体" w:hAnsi="新宋体" w:eastAsia="新宋体" w:cs="仿宋_GB2312"/>
          <w:bCs/>
          <w:sz w:val="24"/>
          <w:u w:val="single"/>
        </w:rPr>
        <w:t xml:space="preserve"> 广</w:t>
      </w:r>
      <w:bookmarkEnd w:id="83"/>
      <w:r>
        <w:rPr>
          <w:rFonts w:hint="eastAsia" w:ascii="新宋体" w:hAnsi="新宋体" w:eastAsia="新宋体" w:cs="仿宋_GB2312"/>
          <w:bCs/>
          <w:sz w:val="24"/>
          <w:u w:val="single"/>
        </w:rPr>
        <w:t xml:space="preserve">东外语外贸大学 </w:t>
      </w:r>
      <w:r>
        <w:rPr>
          <w:rFonts w:hint="eastAsia" w:ascii="新宋体" w:hAnsi="新宋体" w:eastAsia="新宋体" w:cs="仿宋_GB2312"/>
          <w:bCs/>
          <w:sz w:val="24"/>
        </w:rPr>
        <w:t>签订。</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十、签订时间</w:t>
      </w:r>
    </w:p>
    <w:p>
      <w:pPr>
        <w:overflowPunct w:val="0"/>
        <w:topLinePunct/>
        <w:spacing w:line="360" w:lineRule="auto"/>
        <w:ind w:firstLine="480" w:firstLineChars="200"/>
        <w:rPr>
          <w:rFonts w:ascii="新宋体" w:hAnsi="新宋体" w:eastAsia="新宋体" w:cs="仿宋_GB2312"/>
          <w:bCs/>
          <w:sz w:val="24"/>
        </w:rPr>
      </w:pPr>
      <w:bookmarkStart w:id="84" w:name="_Toc351203489"/>
      <w:r>
        <w:rPr>
          <w:rFonts w:hint="eastAsia" w:ascii="新宋体" w:hAnsi="新宋体" w:eastAsia="新宋体" w:cs="仿宋_GB2312"/>
          <w:bCs/>
          <w:sz w:val="24"/>
        </w:rPr>
        <w:t>本合同于</w:t>
      </w:r>
      <w:bookmarkEnd w:id="84"/>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年</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月</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日签订。</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十一、补充协议</w:t>
      </w:r>
      <w:bookmarkStart w:id="85" w:name="_Toc351203491"/>
    </w:p>
    <w:p>
      <w:pPr>
        <w:overflowPunct w:val="0"/>
        <w:topLinePunct/>
        <w:spacing w:line="360" w:lineRule="auto"/>
        <w:ind w:firstLine="480" w:firstLineChars="200"/>
        <w:rPr>
          <w:rFonts w:ascii="新宋体" w:hAnsi="新宋体" w:eastAsia="新宋体" w:cs="仿宋_GB2312"/>
          <w:b/>
          <w:bCs/>
          <w:sz w:val="24"/>
        </w:rPr>
      </w:pPr>
      <w:r>
        <w:rPr>
          <w:rFonts w:hint="eastAsia" w:ascii="新宋体" w:hAnsi="新宋体" w:eastAsia="新宋体" w:cs="仿宋_GB2312"/>
          <w:bCs/>
          <w:sz w:val="24"/>
        </w:rPr>
        <w:t>合同未尽事宜</w:t>
      </w:r>
      <w:bookmarkEnd w:id="85"/>
      <w:r>
        <w:rPr>
          <w:rFonts w:hint="eastAsia" w:ascii="新宋体" w:hAnsi="新宋体" w:eastAsia="新宋体" w:cs="仿宋_GB2312"/>
          <w:bCs/>
          <w:sz w:val="24"/>
        </w:rPr>
        <w:t>，合同当事人另行签订补充协议，补充协议是合同组成部分。</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十二、合同生效</w:t>
      </w:r>
      <w:bookmarkStart w:id="86" w:name="_Toc351203492"/>
    </w:p>
    <w:p>
      <w:pPr>
        <w:overflowPunct w:val="0"/>
        <w:topLinePunct/>
        <w:spacing w:line="360" w:lineRule="auto"/>
        <w:ind w:firstLine="480" w:firstLineChars="200"/>
        <w:rPr>
          <w:rFonts w:ascii="新宋体" w:hAnsi="新宋体" w:eastAsia="新宋体" w:cs="仿宋_GB2312"/>
          <w:bCs/>
          <w:sz w:val="24"/>
        </w:rPr>
      </w:pPr>
      <w:r>
        <w:rPr>
          <w:rFonts w:hint="eastAsia" w:ascii="新宋体" w:hAnsi="新宋体" w:eastAsia="新宋体" w:cs="仿宋_GB2312"/>
          <w:bCs/>
          <w:sz w:val="24"/>
        </w:rPr>
        <w:t>本合同自</w:t>
      </w:r>
      <w:r>
        <w:rPr>
          <w:rFonts w:hint="eastAsia" w:ascii="新宋体" w:hAnsi="新宋体" w:eastAsia="新宋体" w:cs="仿宋_GB2312"/>
          <w:bCs/>
          <w:sz w:val="24"/>
          <w:u w:val="single"/>
        </w:rPr>
        <w:t xml:space="preserve"> </w:t>
      </w:r>
      <w:r>
        <w:rPr>
          <w:rFonts w:hint="eastAsia" w:ascii="新宋体" w:hAnsi="新宋体" w:eastAsia="新宋体" w:cs="仿宋_GB2312"/>
          <w:kern w:val="0"/>
          <w:sz w:val="24"/>
          <w:u w:val="single"/>
        </w:rPr>
        <w:t>双</w:t>
      </w:r>
      <w:bookmarkEnd w:id="86"/>
      <w:r>
        <w:rPr>
          <w:rFonts w:hint="eastAsia" w:ascii="新宋体" w:hAnsi="新宋体" w:eastAsia="新宋体" w:cs="仿宋_GB2312"/>
          <w:kern w:val="0"/>
          <w:sz w:val="24"/>
          <w:u w:val="single"/>
        </w:rPr>
        <w:t>方签字、盖单位公章后</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生效。</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十三、合同份数</w:t>
      </w:r>
      <w:bookmarkStart w:id="87" w:name="_Toc351203493"/>
    </w:p>
    <w:p>
      <w:pPr>
        <w:overflowPunct w:val="0"/>
        <w:topLinePunct/>
        <w:spacing w:line="360" w:lineRule="auto"/>
        <w:ind w:firstLine="480" w:firstLineChars="200"/>
        <w:rPr>
          <w:rFonts w:ascii="新宋体" w:hAnsi="新宋体" w:eastAsia="新宋体" w:cs="仿宋_GB2312"/>
          <w:bCs/>
          <w:sz w:val="24"/>
        </w:rPr>
      </w:pPr>
      <w:r>
        <w:rPr>
          <w:rFonts w:hint="eastAsia" w:ascii="新宋体" w:hAnsi="新宋体" w:eastAsia="新宋体" w:cs="仿宋_GB2312"/>
          <w:bCs/>
          <w:sz w:val="24"/>
        </w:rPr>
        <w:t>本合同一式</w:t>
      </w:r>
      <w:r>
        <w:rPr>
          <w:rFonts w:hint="eastAsia" w:ascii="新宋体" w:hAnsi="新宋体" w:eastAsia="新宋体" w:cs="仿宋_GB2312"/>
          <w:bCs/>
          <w:sz w:val="24"/>
          <w:u w:val="single"/>
        </w:rPr>
        <w:t xml:space="preserve"> </w:t>
      </w:r>
      <w:bookmarkEnd w:id="87"/>
      <w:r>
        <w:rPr>
          <w:rFonts w:hint="eastAsia" w:ascii="新宋体" w:hAnsi="新宋体" w:eastAsia="新宋体" w:cs="仿宋_GB2312"/>
          <w:bCs/>
          <w:sz w:val="24"/>
          <w:u w:val="single"/>
          <w:lang w:val="en-US" w:eastAsia="zh-CN"/>
        </w:rPr>
        <w:t>陆</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份，均具有同等法律效力，发包人执</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u w:val="single"/>
          <w:lang w:val="en-US" w:eastAsia="zh-CN"/>
        </w:rPr>
        <w:t xml:space="preserve">陆 </w:t>
      </w:r>
      <w:r>
        <w:rPr>
          <w:rFonts w:hint="eastAsia" w:ascii="新宋体" w:hAnsi="新宋体" w:eastAsia="新宋体" w:cs="仿宋_GB2312"/>
          <w:bCs/>
          <w:sz w:val="24"/>
        </w:rPr>
        <w:t>份，承包人执</w:t>
      </w:r>
      <w:r>
        <w:rPr>
          <w:rFonts w:hint="eastAsia" w:ascii="新宋体" w:hAnsi="新宋体" w:eastAsia="新宋体" w:cs="仿宋_GB2312"/>
          <w:bCs/>
          <w:sz w:val="24"/>
          <w:u w:val="single"/>
          <w:lang w:val="en-US" w:eastAsia="zh-CN"/>
        </w:rPr>
        <w:t xml:space="preserve"> 贰</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份。</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（以下无正文）</w:t>
      </w:r>
    </w:p>
    <w:p>
      <w:pPr>
        <w:overflowPunct w:val="0"/>
        <w:topLinePunct/>
        <w:spacing w:line="360" w:lineRule="auto"/>
        <w:ind w:firstLine="480" w:firstLineChars="200"/>
        <w:rPr>
          <w:rFonts w:ascii="新宋体" w:hAnsi="新宋体" w:eastAsia="新宋体" w:cs="仿宋_GB2312"/>
          <w:bCs/>
          <w:sz w:val="24"/>
        </w:rPr>
        <w:sectPr>
          <w:pgSz w:w="11907" w:h="16834"/>
          <w:pgMar w:top="1418" w:right="1134" w:bottom="1418" w:left="1247" w:header="850" w:footer="850" w:gutter="0"/>
          <w:cols w:space="720" w:num="1"/>
          <w:docGrid w:linePitch="287" w:charSpace="-3527"/>
        </w:sectPr>
      </w:pPr>
    </w:p>
    <w:p>
      <w:pPr>
        <w:overflowPunct w:val="0"/>
        <w:topLinePunct/>
        <w:spacing w:line="360" w:lineRule="auto"/>
        <w:ind w:firstLine="240" w:firstLineChars="100"/>
        <w:rPr>
          <w:rFonts w:ascii="新宋体" w:hAnsi="新宋体" w:eastAsia="新宋体" w:cs="仿宋_GB2312"/>
          <w:sz w:val="24"/>
        </w:rPr>
      </w:pPr>
      <w:r>
        <w:rPr>
          <w:rFonts w:hint="eastAsia" w:ascii="新宋体" w:hAnsi="新宋体" w:eastAsia="新宋体" w:cs="仿宋_GB2312"/>
          <w:sz w:val="24"/>
        </w:rPr>
        <w:t>发包人：</w:t>
      </w:r>
      <w:r>
        <w:rPr>
          <w:rFonts w:hint="eastAsia" w:ascii="新宋体" w:hAnsi="新宋体" w:eastAsia="新宋体" w:cs="仿宋_GB2312"/>
          <w:sz w:val="24"/>
          <w:u w:val="single"/>
        </w:rPr>
        <w:t xml:space="preserve">广东外语外贸大学   </w:t>
      </w:r>
    </w:p>
    <w:p>
      <w:pPr>
        <w:overflowPunct w:val="0"/>
        <w:topLinePunct/>
        <w:spacing w:line="360" w:lineRule="auto"/>
        <w:ind w:firstLine="240" w:firstLineChars="100"/>
        <w:rPr>
          <w:rFonts w:ascii="新宋体" w:hAnsi="新宋体" w:eastAsia="新宋体" w:cs="仿宋_GB2312"/>
          <w:sz w:val="24"/>
        </w:rPr>
      </w:pPr>
      <w:r>
        <w:rPr>
          <w:rFonts w:hint="eastAsia" w:ascii="新宋体" w:hAnsi="新宋体" w:eastAsia="新宋体" w:cs="仿宋_GB2312"/>
          <w:sz w:val="24"/>
        </w:rPr>
        <w:t>（公章）</w:t>
      </w:r>
    </w:p>
    <w:p>
      <w:pPr>
        <w:overflowPunct w:val="0"/>
        <w:topLinePunct/>
        <w:spacing w:line="360" w:lineRule="auto"/>
        <w:rPr>
          <w:rFonts w:ascii="新宋体" w:hAnsi="新宋体" w:eastAsia="新宋体" w:cs="仿宋_GB2312"/>
          <w:sz w:val="24"/>
        </w:rPr>
      </w:pPr>
    </w:p>
    <w:p>
      <w:pPr>
        <w:overflowPunct w:val="0"/>
        <w:topLinePunct/>
        <w:spacing w:line="360" w:lineRule="auto"/>
        <w:ind w:firstLine="240" w:firstLineChars="100"/>
        <w:rPr>
          <w:rFonts w:ascii="新宋体" w:hAnsi="新宋体" w:eastAsia="新宋体" w:cs="仿宋_GB2312"/>
          <w:sz w:val="24"/>
        </w:rPr>
      </w:pPr>
      <w:r>
        <w:rPr>
          <w:rFonts w:hint="eastAsia" w:ascii="新宋体" w:hAnsi="新宋体" w:eastAsia="新宋体" w:cs="仿宋_GB2312"/>
          <w:sz w:val="24"/>
        </w:rPr>
        <w:t>法定代表人：</w:t>
      </w:r>
      <w:r>
        <w:rPr>
          <w:rFonts w:hint="eastAsia" w:ascii="新宋体" w:hAnsi="新宋体" w:eastAsia="新宋体" w:cs="仿宋_GB2312"/>
          <w:sz w:val="24"/>
          <w:u w:val="single"/>
        </w:rPr>
        <w:t xml:space="preserve">           </w:t>
      </w:r>
      <w:r>
        <w:rPr>
          <w:rFonts w:hint="eastAsia" w:ascii="新宋体" w:hAnsi="新宋体" w:eastAsia="新宋体" w:cs="仿宋_GB2312"/>
          <w:sz w:val="24"/>
        </w:rPr>
        <w:t xml:space="preserve">  </w:t>
      </w:r>
    </w:p>
    <w:p>
      <w:pPr>
        <w:overflowPunct w:val="0"/>
        <w:topLinePunct/>
        <w:spacing w:line="360" w:lineRule="auto"/>
        <w:ind w:firstLine="240" w:firstLineChars="100"/>
        <w:rPr>
          <w:rFonts w:ascii="新宋体" w:hAnsi="新宋体" w:eastAsia="新宋体" w:cs="仿宋_GB2312"/>
          <w:sz w:val="24"/>
          <w:u w:val="single"/>
        </w:rPr>
      </w:pPr>
      <w:r>
        <w:rPr>
          <w:rFonts w:hint="eastAsia" w:ascii="新宋体" w:hAnsi="新宋体" w:eastAsia="新宋体" w:cs="仿宋_GB2312"/>
          <w:sz w:val="24"/>
        </w:rPr>
        <w:t>或委托代理人：</w:t>
      </w:r>
      <w:r>
        <w:rPr>
          <w:rFonts w:hint="eastAsia" w:ascii="新宋体" w:hAnsi="新宋体" w:eastAsia="新宋体" w:cs="仿宋_GB2312"/>
          <w:sz w:val="24"/>
          <w:u w:val="single"/>
        </w:rPr>
        <w:t xml:space="preserve">           </w:t>
      </w:r>
    </w:p>
    <w:p>
      <w:pPr>
        <w:overflowPunct w:val="0"/>
        <w:topLinePunct/>
        <w:spacing w:line="360" w:lineRule="auto"/>
        <w:ind w:firstLine="240" w:firstLineChars="100"/>
        <w:rPr>
          <w:rFonts w:ascii="新宋体" w:hAnsi="新宋体" w:eastAsia="新宋体" w:cs="仿宋_GB2312"/>
          <w:sz w:val="24"/>
          <w:u w:val="single"/>
        </w:rPr>
      </w:pPr>
      <w:r>
        <w:rPr>
          <w:rFonts w:hint="eastAsia" w:ascii="新宋体" w:hAnsi="新宋体" w:eastAsia="新宋体" w:cs="仿宋_GB2312"/>
          <w:sz w:val="24"/>
        </w:rPr>
        <w:t>地址：</w:t>
      </w:r>
      <w:r>
        <w:rPr>
          <w:rFonts w:hint="eastAsia" w:ascii="新宋体" w:hAnsi="新宋体" w:eastAsia="新宋体" w:cs="仿宋_GB2312"/>
          <w:sz w:val="24"/>
          <w:u w:val="single"/>
        </w:rPr>
        <w:t xml:space="preserve">           </w:t>
      </w:r>
      <w:r>
        <w:rPr>
          <w:rFonts w:hint="eastAsia" w:ascii="新宋体" w:hAnsi="新宋体" w:eastAsia="新宋体" w:cs="仿宋_GB2312"/>
          <w:sz w:val="24"/>
        </w:rPr>
        <w:t xml:space="preserve">  </w:t>
      </w:r>
    </w:p>
    <w:p>
      <w:pPr>
        <w:overflowPunct w:val="0"/>
        <w:topLinePunct/>
        <w:spacing w:line="360" w:lineRule="auto"/>
        <w:ind w:firstLine="240" w:firstLineChars="100"/>
        <w:rPr>
          <w:rFonts w:ascii="新宋体" w:hAnsi="新宋体" w:eastAsia="新宋体" w:cs="仿宋_GB2312"/>
          <w:sz w:val="24"/>
          <w:u w:val="single"/>
        </w:rPr>
      </w:pPr>
      <w:r>
        <w:rPr>
          <w:rFonts w:hint="eastAsia" w:ascii="新宋体" w:hAnsi="新宋体" w:eastAsia="新宋体" w:cs="仿宋_GB2312"/>
          <w:sz w:val="24"/>
        </w:rPr>
        <w:t>邮政编码：</w:t>
      </w:r>
      <w:r>
        <w:rPr>
          <w:rFonts w:hint="eastAsia" w:ascii="新宋体" w:hAnsi="新宋体" w:eastAsia="新宋体" w:cs="仿宋_GB2312"/>
          <w:sz w:val="24"/>
          <w:u w:val="single"/>
        </w:rPr>
        <w:t xml:space="preserve">           </w:t>
      </w:r>
    </w:p>
    <w:p>
      <w:pPr>
        <w:overflowPunct w:val="0"/>
        <w:topLinePunct/>
        <w:spacing w:line="360" w:lineRule="auto"/>
        <w:ind w:firstLine="240" w:firstLineChars="100"/>
        <w:rPr>
          <w:rFonts w:ascii="新宋体" w:hAnsi="新宋体" w:eastAsia="新宋体" w:cs="仿宋_GB2312"/>
          <w:sz w:val="24"/>
        </w:rPr>
      </w:pPr>
      <w:r>
        <w:rPr>
          <w:rFonts w:hint="eastAsia" w:ascii="新宋体" w:hAnsi="新宋体" w:eastAsia="新宋体" w:cs="仿宋_GB2312"/>
          <w:sz w:val="24"/>
        </w:rPr>
        <w:t>电  话：</w:t>
      </w:r>
      <w:r>
        <w:rPr>
          <w:rFonts w:hint="eastAsia" w:ascii="新宋体" w:hAnsi="新宋体" w:eastAsia="新宋体" w:cs="仿宋_GB2312"/>
          <w:sz w:val="24"/>
          <w:u w:val="single"/>
        </w:rPr>
        <w:t xml:space="preserve">           </w:t>
      </w:r>
      <w:r>
        <w:rPr>
          <w:rFonts w:hint="eastAsia" w:ascii="新宋体" w:hAnsi="新宋体" w:eastAsia="新宋体" w:cs="仿宋_GB2312"/>
          <w:sz w:val="24"/>
        </w:rPr>
        <w:t xml:space="preserve">  </w:t>
      </w:r>
    </w:p>
    <w:p>
      <w:pPr>
        <w:overflowPunct w:val="0"/>
        <w:topLinePunct/>
        <w:spacing w:line="360" w:lineRule="auto"/>
        <w:ind w:left="1199" w:leftChars="114" w:hanging="960" w:hangingChars="400"/>
        <w:rPr>
          <w:rFonts w:ascii="新宋体" w:hAnsi="新宋体" w:eastAsia="新宋体" w:cs="仿宋_GB2312"/>
          <w:sz w:val="24"/>
        </w:rPr>
      </w:pPr>
      <w:r>
        <w:rPr>
          <w:rFonts w:hint="eastAsia" w:ascii="新宋体" w:hAnsi="新宋体" w:eastAsia="新宋体" w:cs="仿宋_GB2312"/>
          <w:sz w:val="24"/>
        </w:rPr>
        <w:t>开户银行：</w:t>
      </w:r>
      <w:r>
        <w:rPr>
          <w:rFonts w:hint="eastAsia" w:ascii="新宋体" w:hAnsi="新宋体" w:eastAsia="新宋体" w:cs="仿宋_GB2312"/>
          <w:sz w:val="24"/>
          <w:u w:val="single"/>
        </w:rPr>
        <w:t xml:space="preserve">           </w:t>
      </w:r>
      <w:r>
        <w:rPr>
          <w:rFonts w:hint="eastAsia" w:ascii="新宋体" w:hAnsi="新宋体" w:eastAsia="新宋体" w:cs="仿宋_GB2312"/>
          <w:sz w:val="24"/>
        </w:rPr>
        <w:t xml:space="preserve">  </w:t>
      </w:r>
    </w:p>
    <w:p>
      <w:pPr>
        <w:overflowPunct w:val="0"/>
        <w:topLinePunct/>
        <w:spacing w:line="360" w:lineRule="auto"/>
        <w:ind w:firstLine="240" w:firstLineChars="100"/>
        <w:rPr>
          <w:rFonts w:ascii="新宋体" w:hAnsi="新宋体" w:eastAsia="新宋体" w:cs="仿宋_GB2312"/>
          <w:sz w:val="24"/>
          <w:u w:val="single"/>
        </w:rPr>
      </w:pPr>
      <w:r>
        <w:rPr>
          <w:rFonts w:hint="eastAsia" w:ascii="新宋体" w:hAnsi="新宋体" w:eastAsia="新宋体" w:cs="仿宋_GB2312"/>
          <w:sz w:val="24"/>
        </w:rPr>
        <w:t>账  号：</w:t>
      </w:r>
      <w:r>
        <w:rPr>
          <w:rFonts w:hint="eastAsia" w:ascii="新宋体" w:hAnsi="新宋体" w:eastAsia="新宋体" w:cs="仿宋_GB2312"/>
          <w:sz w:val="24"/>
          <w:u w:val="single"/>
        </w:rPr>
        <w:t xml:space="preserve">           </w:t>
      </w:r>
      <w:r>
        <w:rPr>
          <w:rFonts w:hint="eastAsia" w:ascii="新宋体" w:hAnsi="新宋体" w:eastAsia="新宋体" w:cs="仿宋_GB2312"/>
          <w:sz w:val="24"/>
        </w:rPr>
        <w:t xml:space="preserve">  </w:t>
      </w:r>
    </w:p>
    <w:p>
      <w:pPr>
        <w:overflowPunct w:val="0"/>
        <w:topLinePunct/>
        <w:spacing w:line="360" w:lineRule="auto"/>
        <w:ind w:firstLine="240" w:firstLineChars="100"/>
        <w:rPr>
          <w:rFonts w:ascii="新宋体" w:hAnsi="新宋体" w:eastAsia="新宋体" w:cs="仿宋_GB2312"/>
          <w:sz w:val="24"/>
          <w:u w:val="single"/>
        </w:rPr>
      </w:pPr>
    </w:p>
    <w:p>
      <w:pPr>
        <w:overflowPunct w:val="0"/>
        <w:topLinePunct/>
        <w:spacing w:line="360" w:lineRule="auto"/>
        <w:rPr>
          <w:rFonts w:ascii="新宋体" w:hAnsi="新宋体" w:eastAsia="新宋体" w:cs="仿宋_GB2312"/>
          <w:sz w:val="24"/>
          <w:u w:val="single"/>
        </w:rPr>
      </w:pPr>
      <w:r>
        <w:rPr>
          <w:rFonts w:hint="eastAsia" w:ascii="新宋体" w:hAnsi="新宋体" w:eastAsia="新宋体" w:cs="仿宋_GB2312"/>
          <w:sz w:val="24"/>
        </w:rPr>
        <w:t>承包人：</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p>
    <w:p>
      <w:pPr>
        <w:overflowPunct w:val="0"/>
        <w:topLinePunct/>
        <w:spacing w:line="360" w:lineRule="auto"/>
        <w:rPr>
          <w:rFonts w:ascii="新宋体" w:hAnsi="新宋体" w:eastAsia="新宋体" w:cs="仿宋_GB2312"/>
          <w:sz w:val="24"/>
          <w:u w:val="single"/>
        </w:rPr>
      </w:pPr>
      <w:r>
        <w:rPr>
          <w:rFonts w:hint="eastAsia" w:ascii="新宋体" w:hAnsi="新宋体" w:eastAsia="新宋体" w:cs="仿宋_GB2312"/>
          <w:sz w:val="24"/>
        </w:rPr>
        <w:t>（公章）</w:t>
      </w:r>
    </w:p>
    <w:p>
      <w:pPr>
        <w:overflowPunct w:val="0"/>
        <w:topLinePunct/>
        <w:spacing w:line="360" w:lineRule="auto"/>
        <w:rPr>
          <w:rFonts w:ascii="新宋体" w:hAnsi="新宋体" w:eastAsia="新宋体" w:cs="仿宋_GB2312"/>
          <w:sz w:val="24"/>
        </w:rPr>
      </w:pPr>
    </w:p>
    <w:p>
      <w:pPr>
        <w:overflowPunct w:val="0"/>
        <w:topLinePunct/>
        <w:spacing w:line="360" w:lineRule="auto"/>
        <w:rPr>
          <w:rFonts w:ascii="新宋体" w:hAnsi="新宋体" w:eastAsia="新宋体" w:cs="仿宋_GB2312"/>
          <w:sz w:val="24"/>
        </w:rPr>
      </w:pPr>
      <w:r>
        <w:rPr>
          <w:rFonts w:hint="eastAsia" w:ascii="新宋体" w:hAnsi="新宋体" w:eastAsia="新宋体" w:cs="仿宋_GB2312"/>
          <w:sz w:val="24"/>
        </w:rPr>
        <w:t>法定代表人：</w:t>
      </w:r>
      <w:r>
        <w:rPr>
          <w:rFonts w:hint="eastAsia" w:ascii="新宋体" w:hAnsi="新宋体" w:eastAsia="新宋体" w:cs="仿宋_GB2312"/>
          <w:sz w:val="24"/>
          <w:u w:val="single"/>
        </w:rPr>
        <w:t xml:space="preserve">           </w:t>
      </w:r>
      <w:r>
        <w:rPr>
          <w:rFonts w:hint="eastAsia" w:ascii="新宋体" w:hAnsi="新宋体" w:eastAsia="新宋体" w:cs="仿宋_GB2312"/>
          <w:sz w:val="24"/>
        </w:rPr>
        <w:t xml:space="preserve">  </w:t>
      </w:r>
    </w:p>
    <w:p>
      <w:pPr>
        <w:overflowPunct w:val="0"/>
        <w:topLinePunct/>
        <w:spacing w:line="360" w:lineRule="auto"/>
        <w:rPr>
          <w:rFonts w:ascii="新宋体" w:hAnsi="新宋体" w:eastAsia="新宋体" w:cs="仿宋_GB2312"/>
          <w:sz w:val="24"/>
          <w:u w:val="single"/>
        </w:rPr>
      </w:pPr>
      <w:r>
        <w:rPr>
          <w:rFonts w:hint="eastAsia" w:ascii="新宋体" w:hAnsi="新宋体" w:eastAsia="新宋体" w:cs="仿宋_GB2312"/>
          <w:sz w:val="24"/>
        </w:rPr>
        <w:t>或委托代理人：</w:t>
      </w:r>
      <w:r>
        <w:rPr>
          <w:rFonts w:hint="eastAsia" w:ascii="新宋体" w:hAnsi="新宋体" w:eastAsia="新宋体" w:cs="仿宋_GB2312"/>
          <w:sz w:val="24"/>
          <w:u w:val="single"/>
        </w:rPr>
        <w:t xml:space="preserve">           </w:t>
      </w:r>
    </w:p>
    <w:p>
      <w:pPr>
        <w:overflowPunct w:val="0"/>
        <w:topLinePunct/>
        <w:spacing w:line="360" w:lineRule="auto"/>
        <w:rPr>
          <w:rFonts w:ascii="新宋体" w:hAnsi="新宋体" w:eastAsia="新宋体" w:cs="仿宋_GB2312"/>
          <w:sz w:val="24"/>
          <w:u w:val="single"/>
        </w:rPr>
      </w:pPr>
      <w:r>
        <w:rPr>
          <w:rFonts w:hint="eastAsia" w:ascii="新宋体" w:hAnsi="新宋体" w:eastAsia="新宋体" w:cs="仿宋_GB2312"/>
          <w:sz w:val="24"/>
        </w:rPr>
        <w:t>地址：</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p>
    <w:p>
      <w:pPr>
        <w:overflowPunct w:val="0"/>
        <w:topLinePunct/>
        <w:spacing w:line="360" w:lineRule="auto"/>
        <w:rPr>
          <w:rFonts w:ascii="新宋体" w:hAnsi="新宋体" w:eastAsia="新宋体" w:cs="仿宋_GB2312"/>
          <w:b/>
          <w:sz w:val="24"/>
          <w:u w:val="single"/>
        </w:rPr>
      </w:pPr>
      <w:r>
        <w:rPr>
          <w:rFonts w:hint="eastAsia" w:ascii="新宋体" w:hAnsi="新宋体" w:eastAsia="新宋体" w:cs="仿宋_GB2312"/>
          <w:sz w:val="24"/>
        </w:rPr>
        <w:t>邮政编码：</w:t>
      </w:r>
      <w:r>
        <w:rPr>
          <w:rFonts w:hint="eastAsia" w:ascii="新宋体" w:hAnsi="新宋体" w:eastAsia="新宋体" w:cs="仿宋_GB2312"/>
          <w:sz w:val="24"/>
          <w:u w:val="single"/>
        </w:rPr>
        <w:t xml:space="preserve">        </w:t>
      </w:r>
    </w:p>
    <w:p>
      <w:pPr>
        <w:overflowPunct w:val="0"/>
        <w:topLinePunct/>
        <w:spacing w:line="360" w:lineRule="auto"/>
        <w:rPr>
          <w:rFonts w:ascii="新宋体" w:hAnsi="新宋体" w:eastAsia="新宋体" w:cs="仿宋_GB2312"/>
          <w:sz w:val="24"/>
        </w:rPr>
      </w:pPr>
      <w:r>
        <w:rPr>
          <w:rFonts w:hint="eastAsia" w:ascii="新宋体" w:hAnsi="新宋体" w:eastAsia="新宋体" w:cs="仿宋_GB2312"/>
          <w:sz w:val="24"/>
        </w:rPr>
        <w:t>电  话：</w:t>
      </w:r>
      <w:r>
        <w:rPr>
          <w:rFonts w:hint="eastAsia" w:ascii="新宋体" w:hAnsi="新宋体" w:eastAsia="新宋体" w:cs="仿宋_GB2312"/>
          <w:sz w:val="24"/>
          <w:u w:val="single"/>
        </w:rPr>
        <w:t xml:space="preserve">        </w:t>
      </w:r>
    </w:p>
    <w:p>
      <w:pPr>
        <w:overflowPunct w:val="0"/>
        <w:topLinePunct/>
        <w:spacing w:line="360" w:lineRule="auto"/>
        <w:rPr>
          <w:rFonts w:ascii="新宋体" w:hAnsi="新宋体" w:eastAsia="新宋体" w:cs="仿宋_GB2312"/>
          <w:sz w:val="24"/>
          <w:u w:val="single"/>
        </w:rPr>
      </w:pPr>
      <w:r>
        <w:rPr>
          <w:rFonts w:hint="eastAsia" w:ascii="新宋体" w:hAnsi="新宋体" w:eastAsia="新宋体" w:cs="仿宋_GB2312"/>
          <w:sz w:val="24"/>
        </w:rPr>
        <w:t>开户银行：</w:t>
      </w:r>
      <w:r>
        <w:rPr>
          <w:rFonts w:hint="eastAsia" w:ascii="新宋体" w:hAnsi="新宋体" w:eastAsia="新宋体" w:cs="仿宋_GB2312"/>
          <w:sz w:val="24"/>
          <w:u w:val="single"/>
        </w:rPr>
        <w:t xml:space="preserve">        </w:t>
      </w:r>
    </w:p>
    <w:p>
      <w:pPr>
        <w:overflowPunct w:val="0"/>
        <w:topLinePunct/>
        <w:spacing w:line="360" w:lineRule="auto"/>
        <w:rPr>
          <w:rFonts w:ascii="新宋体" w:hAnsi="新宋体" w:eastAsia="新宋体" w:cs="仿宋_GB2312"/>
          <w:sz w:val="24"/>
          <w:u w:val="single"/>
        </w:rPr>
      </w:pPr>
      <w:r>
        <w:rPr>
          <w:rFonts w:hint="eastAsia" w:ascii="新宋体" w:hAnsi="新宋体" w:eastAsia="新宋体" w:cs="仿宋_GB2312"/>
          <w:sz w:val="24"/>
        </w:rPr>
        <w:t>账  号：</w:t>
      </w:r>
      <w:r>
        <w:rPr>
          <w:rFonts w:hint="eastAsia" w:ascii="新宋体" w:hAnsi="新宋体" w:eastAsia="新宋体" w:cs="仿宋_GB2312"/>
          <w:sz w:val="24"/>
          <w:u w:val="single"/>
        </w:rPr>
        <w:t xml:space="preserve">        </w:t>
      </w:r>
    </w:p>
    <w:p>
      <w:pPr>
        <w:overflowPunct w:val="0"/>
        <w:topLinePunct/>
        <w:spacing w:line="360" w:lineRule="auto"/>
        <w:rPr>
          <w:rFonts w:ascii="新宋体" w:hAnsi="新宋体" w:eastAsia="新宋体" w:cs="仿宋_GB2312"/>
          <w:sz w:val="28"/>
          <w:szCs w:val="28"/>
          <w:u w:val="single"/>
        </w:rPr>
        <w:sectPr>
          <w:type w:val="continuous"/>
          <w:pgSz w:w="11907" w:h="16834"/>
          <w:pgMar w:top="1418" w:right="1134" w:bottom="1418" w:left="1247" w:header="850" w:footer="850" w:gutter="0"/>
          <w:cols w:space="720" w:num="2"/>
          <w:titlePg/>
          <w:docGrid w:linePitch="287" w:charSpace="-3527"/>
        </w:sectPr>
      </w:pPr>
    </w:p>
    <w:p>
      <w:pPr>
        <w:spacing w:line="360" w:lineRule="auto"/>
        <w:rPr>
          <w:rFonts w:ascii="新宋体" w:hAnsi="新宋体" w:eastAsia="新宋体" w:cs="仿宋_GB2312"/>
          <w:sz w:val="28"/>
          <w:szCs w:val="28"/>
        </w:rPr>
        <w:sectPr>
          <w:type w:val="continuous"/>
          <w:pgSz w:w="11907" w:h="16834"/>
          <w:pgMar w:top="1418" w:right="1134" w:bottom="1418" w:left="1247" w:header="850" w:footer="850" w:gutter="0"/>
          <w:cols w:space="720" w:num="2"/>
          <w:titlePg/>
          <w:docGrid w:linePitch="287" w:charSpace="-3527"/>
        </w:sectPr>
      </w:pPr>
    </w:p>
    <w:p>
      <w:pPr>
        <w:spacing w:line="360" w:lineRule="auto"/>
        <w:jc w:val="center"/>
        <w:rPr>
          <w:rFonts w:ascii="新宋体" w:hAnsi="新宋体" w:eastAsia="新宋体" w:cs="仿宋_GB2312"/>
          <w:b/>
          <w:bCs/>
          <w:sz w:val="32"/>
          <w:szCs w:val="32"/>
        </w:rPr>
      </w:pPr>
      <w:r>
        <w:rPr>
          <w:rFonts w:hint="eastAsia" w:ascii="新宋体" w:hAnsi="新宋体" w:eastAsia="新宋体" w:cs="仿宋_GB2312"/>
          <w:b/>
          <w:bCs/>
          <w:sz w:val="32"/>
          <w:szCs w:val="32"/>
        </w:rPr>
        <w:t>第二部分 通用</w:t>
      </w:r>
      <w:bookmarkStart w:id="88" w:name="_Toc351203494"/>
      <w:r>
        <w:rPr>
          <w:rFonts w:hint="eastAsia" w:ascii="新宋体" w:hAnsi="新宋体" w:eastAsia="新宋体" w:cs="仿宋_GB2312"/>
          <w:b/>
          <w:bCs/>
          <w:sz w:val="32"/>
          <w:szCs w:val="32"/>
        </w:rPr>
        <w:t>合同条款</w:t>
      </w:r>
    </w:p>
    <w:p>
      <w:pPr>
        <w:autoSpaceDE w:val="0"/>
        <w:autoSpaceDN w:val="0"/>
        <w:adjustRightInd w:val="0"/>
        <w:spacing w:line="360" w:lineRule="auto"/>
        <w:ind w:firstLine="480" w:firstLineChars="200"/>
        <w:jc w:val="left"/>
        <w:rPr>
          <w:rFonts w:ascii="新宋体" w:hAnsi="新宋体" w:eastAsia="新宋体" w:cs="仿宋_GB2312"/>
          <w:kern w:val="0"/>
          <w:sz w:val="24"/>
        </w:rPr>
      </w:pPr>
    </w:p>
    <w:p>
      <w:pPr>
        <w:autoSpaceDE w:val="0"/>
        <w:autoSpaceDN w:val="0"/>
        <w:adjustRightInd w:val="0"/>
        <w:spacing w:line="360" w:lineRule="auto"/>
        <w:ind w:firstLine="480" w:firstLineChars="200"/>
        <w:jc w:val="left"/>
        <w:rPr>
          <w:rFonts w:ascii="新宋体" w:hAnsi="新宋体" w:eastAsia="新宋体" w:cs="仿宋_GB2312"/>
          <w:kern w:val="0"/>
          <w:sz w:val="30"/>
          <w:szCs w:val="32"/>
        </w:rPr>
      </w:pPr>
      <w:r>
        <w:rPr>
          <w:rFonts w:hint="eastAsia" w:ascii="新宋体" w:hAnsi="新宋体" w:eastAsia="新宋体" w:cs="仿宋_GB2312"/>
          <w:kern w:val="0"/>
          <w:sz w:val="24"/>
        </w:rPr>
        <w:t>通用合同条款</w:t>
      </w:r>
      <w:bookmarkEnd w:id="88"/>
      <w:bookmarkStart w:id="89" w:name="_Toc337558727"/>
      <w:r>
        <w:rPr>
          <w:rFonts w:hint="eastAsia" w:ascii="新宋体" w:hAnsi="新宋体" w:eastAsia="新宋体" w:cs="仿宋_GB2312"/>
          <w:kern w:val="0"/>
          <w:sz w:val="24"/>
        </w:rPr>
        <w:t>按</w:t>
      </w:r>
      <w:bookmarkEnd w:id="89"/>
      <w:r>
        <w:rPr>
          <w:rFonts w:hint="eastAsia" w:ascii="新宋体" w:hAnsi="新宋体" w:eastAsia="新宋体" w:cs="仿宋_GB2312"/>
          <w:kern w:val="0"/>
          <w:sz w:val="24"/>
        </w:rPr>
        <w:t>《建设工程施工合同》（2017版）通用条款执行。</w:t>
      </w:r>
      <w:r>
        <w:rPr>
          <w:rFonts w:hint="eastAsia" w:ascii="新宋体" w:hAnsi="新宋体" w:eastAsia="新宋体" w:cs="仿宋_GB2312"/>
          <w:kern w:val="0"/>
          <w:sz w:val="30"/>
          <w:szCs w:val="32"/>
        </w:rPr>
        <w:t xml:space="preserve"> </w:t>
      </w:r>
    </w:p>
    <w:p>
      <w:pPr>
        <w:spacing w:line="360" w:lineRule="auto"/>
        <w:jc w:val="center"/>
        <w:rPr>
          <w:rFonts w:ascii="新宋体" w:hAnsi="新宋体" w:eastAsia="新宋体" w:cs="仿宋_GB2312"/>
          <w:b/>
          <w:bCs/>
          <w:sz w:val="32"/>
          <w:szCs w:val="32"/>
        </w:rPr>
      </w:pPr>
      <w:r>
        <w:rPr>
          <w:rFonts w:hint="eastAsia" w:ascii="新宋体" w:hAnsi="新宋体" w:eastAsia="新宋体" w:cs="仿宋_GB2312"/>
          <w:sz w:val="44"/>
          <w:szCs w:val="44"/>
        </w:rPr>
        <w:br w:type="page"/>
      </w:r>
      <w:r>
        <w:rPr>
          <w:rFonts w:hint="eastAsia" w:ascii="新宋体" w:hAnsi="新宋体" w:eastAsia="新宋体" w:cs="仿宋_GB2312"/>
          <w:b/>
          <w:bCs/>
          <w:sz w:val="32"/>
          <w:szCs w:val="32"/>
        </w:rPr>
        <w:t>第三部分 专</w:t>
      </w:r>
      <w:bookmarkStart w:id="90" w:name="_Toc351203632"/>
      <w:r>
        <w:rPr>
          <w:rFonts w:hint="eastAsia" w:ascii="新宋体" w:hAnsi="新宋体" w:eastAsia="新宋体" w:cs="仿宋_GB2312"/>
          <w:b/>
          <w:bCs/>
          <w:sz w:val="32"/>
          <w:szCs w:val="32"/>
        </w:rPr>
        <w:t>用合同条款</w:t>
      </w:r>
    </w:p>
    <w:p>
      <w:pPr>
        <w:spacing w:line="360" w:lineRule="auto"/>
        <w:jc w:val="center"/>
        <w:rPr>
          <w:rFonts w:ascii="新宋体" w:hAnsi="新宋体" w:eastAsia="新宋体" w:cs="仿宋_GB2312"/>
          <w:b/>
          <w:bCs/>
          <w:sz w:val="32"/>
          <w:szCs w:val="32"/>
        </w:rPr>
      </w:pP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 一般约</w:t>
      </w:r>
      <w:bookmarkEnd w:id="90"/>
      <w:r>
        <w:rPr>
          <w:rFonts w:hint="eastAsia" w:ascii="新宋体" w:hAnsi="新宋体" w:eastAsia="新宋体" w:cs="仿宋_GB2312"/>
          <w:sz w:val="24"/>
        </w:rPr>
        <w:t>定</w:t>
      </w:r>
      <w:bookmarkStart w:id="91" w:name="_Toc351203633"/>
    </w:p>
    <w:p>
      <w:pPr>
        <w:overflowPunct w:val="0"/>
        <w:topLinePunct/>
        <w:spacing w:line="360" w:lineRule="auto"/>
        <w:ind w:firstLine="480" w:firstLineChars="200"/>
        <w:rPr>
          <w:rFonts w:ascii="新宋体" w:hAnsi="新宋体" w:eastAsia="新宋体" w:cs="仿宋_GB2312"/>
          <w:sz w:val="24"/>
        </w:rPr>
      </w:pPr>
      <w:bookmarkStart w:id="92" w:name="_Toc297048342"/>
      <w:bookmarkStart w:id="93" w:name="_Toc296944495"/>
      <w:bookmarkStart w:id="94" w:name="_Toc297120456"/>
      <w:bookmarkStart w:id="95" w:name="_Toc296891196"/>
      <w:bookmarkStart w:id="96" w:name="_Toc292559866"/>
      <w:bookmarkStart w:id="97" w:name="_Toc296890984"/>
      <w:bookmarkStart w:id="98" w:name="_Toc292559361"/>
      <w:bookmarkStart w:id="99" w:name="_Toc296346657"/>
      <w:bookmarkStart w:id="100" w:name="_Toc296503156"/>
      <w:bookmarkStart w:id="101" w:name="_Toc296347155"/>
      <w:r>
        <w:rPr>
          <w:rFonts w:hint="eastAsia" w:ascii="新宋体" w:hAnsi="新宋体" w:eastAsia="新宋体" w:cs="仿宋_GB2312"/>
          <w:sz w:val="24"/>
        </w:rPr>
        <w:t>1.1 词语</w:t>
      </w:r>
      <w:bookmarkEnd w:id="91"/>
      <w:r>
        <w:rPr>
          <w:rFonts w:hint="eastAsia" w:ascii="新宋体" w:hAnsi="新宋体" w:eastAsia="新宋体" w:cs="仿宋_GB2312"/>
          <w:sz w:val="24"/>
        </w:rPr>
        <w:t>定</w:t>
      </w:r>
      <w:bookmarkEnd w:id="92"/>
      <w:bookmarkEnd w:id="93"/>
      <w:bookmarkEnd w:id="94"/>
      <w:bookmarkEnd w:id="95"/>
      <w:bookmarkEnd w:id="96"/>
      <w:bookmarkEnd w:id="97"/>
      <w:bookmarkEnd w:id="98"/>
      <w:bookmarkEnd w:id="99"/>
      <w:bookmarkEnd w:id="100"/>
      <w:bookmarkEnd w:id="101"/>
      <w:r>
        <w:rPr>
          <w:rFonts w:hint="eastAsia" w:ascii="新宋体" w:hAnsi="新宋体" w:eastAsia="新宋体" w:cs="仿宋_GB2312"/>
          <w:sz w:val="24"/>
        </w:rPr>
        <w:t>义</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1.1.1合同</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其他合同文件包括：</w:t>
      </w:r>
      <w:r>
        <w:rPr>
          <w:rFonts w:hint="eastAsia" w:ascii="新宋体" w:hAnsi="新宋体" w:eastAsia="新宋体" w:cs="仿宋_GB2312"/>
          <w:kern w:val="0"/>
          <w:sz w:val="24"/>
          <w:u w:val="single"/>
        </w:rPr>
        <w:t>招标文件、招标答疑会议纪要；投标书及其附件、中标通知书；本合同专用条款；本合同通用条款；洽商、变更等明确双方权利义务的纪要、协议；标准、规范和其他有关技术资料、技术要求；工程施工图纸、工程量清单或双方确认的预算书及报价书、图纸会审记录、例会记录、审定的施工方案等。</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1.1.2 合同当事人及其他相关方</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1.1.2.1监理人：</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名    称：</w:t>
      </w:r>
      <w:r>
        <w:rPr>
          <w:rFonts w:hint="eastAsia" w:ascii="新宋体" w:hAnsi="新宋体" w:eastAsia="新宋体" w:cs="仿宋_GB2312"/>
          <w:sz w:val="24"/>
          <w:u w:val="single"/>
        </w:rPr>
        <w:t xml:space="preserve">    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资质类别和等级：</w:t>
      </w:r>
      <w:r>
        <w:rPr>
          <w:rFonts w:hint="eastAsia" w:ascii="新宋体" w:hAnsi="新宋体" w:eastAsia="新宋体" w:cs="仿宋_GB2312"/>
          <w:sz w:val="24"/>
          <w:u w:val="single"/>
        </w:rPr>
        <w:t xml:space="preserve">    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联系电话：</w:t>
      </w:r>
      <w:r>
        <w:rPr>
          <w:rFonts w:hint="eastAsia" w:ascii="新宋体" w:hAnsi="新宋体" w:eastAsia="新宋体" w:cs="仿宋_GB2312"/>
          <w:sz w:val="24"/>
          <w:u w:val="single"/>
        </w:rPr>
        <w:t xml:space="preserve">    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通信地址：</w:t>
      </w:r>
      <w:r>
        <w:rPr>
          <w:rFonts w:hint="eastAsia" w:ascii="新宋体" w:hAnsi="新宋体" w:eastAsia="新宋体" w:cs="仿宋_GB2312"/>
          <w:sz w:val="24"/>
          <w:u w:val="single"/>
        </w:rPr>
        <w:t xml:space="preserve">    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1.1.2.2设计人：</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名    称：</w:t>
      </w:r>
      <w:r>
        <w:rPr>
          <w:rFonts w:hint="eastAsia" w:ascii="新宋体" w:hAnsi="新宋体" w:eastAsia="新宋体" w:cs="仿宋_GB2312"/>
          <w:sz w:val="24"/>
          <w:u w:val="single"/>
        </w:rPr>
        <w:t xml:space="preserve">    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资质类别和等级：</w:t>
      </w:r>
      <w:r>
        <w:rPr>
          <w:rFonts w:hint="eastAsia" w:ascii="新宋体" w:hAnsi="新宋体" w:eastAsia="新宋体" w:cs="仿宋_GB2312"/>
          <w:sz w:val="24"/>
          <w:u w:val="single"/>
        </w:rPr>
        <w:t xml:space="preserve">  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联系电话：</w:t>
      </w:r>
      <w:r>
        <w:rPr>
          <w:rFonts w:hint="eastAsia" w:ascii="新宋体" w:hAnsi="新宋体" w:eastAsia="新宋体" w:cs="仿宋_GB2312"/>
          <w:sz w:val="24"/>
          <w:u w:val="single"/>
        </w:rPr>
        <w:t xml:space="preserve">    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通信地址：</w:t>
      </w:r>
      <w:r>
        <w:rPr>
          <w:rFonts w:hint="eastAsia" w:ascii="新宋体" w:hAnsi="新宋体" w:eastAsia="新宋体" w:cs="仿宋_GB2312"/>
          <w:sz w:val="24"/>
          <w:u w:val="single"/>
        </w:rPr>
        <w:t xml:space="preserve">    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 xml:space="preserve">1.2法律 </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适用于合同的法律和法规：</w:t>
      </w:r>
      <w:r>
        <w:rPr>
          <w:rFonts w:hint="eastAsia" w:ascii="新宋体" w:hAnsi="新宋体" w:eastAsia="新宋体" w:cs="仿宋_GB2312"/>
          <w:sz w:val="24"/>
          <w:u w:val="single"/>
        </w:rPr>
        <w:t>《中华人民共和国民法典》《中华人民共和国建筑法》《中华人民共和国政府招投标法》《建设工程质量管理条例》《广东省建设工程造价管理规定》《建设工程施工发包与承包价格暂行规定》《关于加强项目经理承接工程管理的通知》及现行有关法律法规。</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1.3 标准和规范</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1.3.1适用于工程的标准规范包括：</w:t>
      </w:r>
      <w:r>
        <w:rPr>
          <w:rFonts w:hint="eastAsia" w:ascii="新宋体" w:hAnsi="新宋体" w:eastAsia="新宋体" w:cs="仿宋_GB2312"/>
          <w:sz w:val="24"/>
          <w:u w:val="single"/>
        </w:rPr>
        <w:t>国家及地方现行有关规范、标准及有关工程保修的规定。</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1.3.2 发包人提供国外标准、规范的名称：</w:t>
      </w:r>
      <w:r>
        <w:rPr>
          <w:rFonts w:hint="eastAsia" w:ascii="新宋体" w:hAnsi="新宋体" w:eastAsia="新宋体" w:cs="仿宋_GB2312"/>
          <w:kern w:val="0"/>
          <w:sz w:val="24"/>
          <w:u w:val="single"/>
        </w:rPr>
        <w:t xml:space="preserve"> 无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发包人提供国外标准、规范的份数：</w:t>
      </w:r>
      <w:r>
        <w:rPr>
          <w:rFonts w:hint="eastAsia" w:ascii="新宋体" w:hAnsi="新宋体" w:eastAsia="新宋体" w:cs="仿宋_GB2312"/>
          <w:kern w:val="0"/>
          <w:sz w:val="24"/>
          <w:u w:val="single"/>
        </w:rPr>
        <w:t xml:space="preserve"> 无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kern w:val="0"/>
          <w:sz w:val="24"/>
        </w:rPr>
        <w:t>发包人提供国外标准、规范的名称：</w:t>
      </w:r>
      <w:r>
        <w:rPr>
          <w:rFonts w:hint="eastAsia" w:ascii="新宋体" w:hAnsi="新宋体" w:eastAsia="新宋体" w:cs="仿宋_GB2312"/>
          <w:kern w:val="0"/>
          <w:sz w:val="24"/>
          <w:u w:val="single"/>
        </w:rPr>
        <w:t xml:space="preserve"> 无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1.4 合同文件的优先顺序</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合同文件组成及优先顺序为：</w:t>
      </w:r>
      <w:r>
        <w:rPr>
          <w:rFonts w:hint="eastAsia" w:ascii="新宋体" w:hAnsi="新宋体" w:eastAsia="新宋体" w:cs="仿宋_GB2312"/>
          <w:sz w:val="24"/>
          <w:u w:val="single"/>
        </w:rPr>
        <w:t>与本合同第一部分《合同协议书》第六条款赋予的规定一致。</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1.5 图纸和承包人文件</w:t>
      </w:r>
      <w:r>
        <w:rPr>
          <w:rFonts w:hint="eastAsia" w:ascii="新宋体" w:hAnsi="新宋体" w:eastAsia="新宋体" w:cs="仿宋_GB2312"/>
          <w:sz w:val="24"/>
        </w:rPr>
        <w:tab/>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1.5.1 图纸的提供</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发包人向承包人提供图纸的时间：</w:t>
      </w:r>
      <w:r>
        <w:rPr>
          <w:rFonts w:hint="eastAsia" w:ascii="新宋体" w:hAnsi="新宋体" w:eastAsia="新宋体" w:cs="仿宋_GB2312"/>
          <w:sz w:val="24"/>
          <w:u w:val="single"/>
        </w:rPr>
        <w:t>开工前提供</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发包人向承包人提供图纸的数量：</w:t>
      </w:r>
      <w:r>
        <w:rPr>
          <w:rFonts w:hint="eastAsia" w:ascii="新宋体" w:hAnsi="新宋体" w:eastAsia="新宋体" w:cs="仿宋_GB2312"/>
          <w:sz w:val="24"/>
          <w:u w:val="single"/>
        </w:rPr>
        <w:t>开工前提供图纸伍套，若承包人需要可自行复印。图纸及设计变更通知须经设计院、发包人盖章确认方有效</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发包人对图纸的保密要求：</w:t>
      </w:r>
      <w:r>
        <w:rPr>
          <w:rFonts w:hint="eastAsia" w:ascii="新宋体" w:hAnsi="新宋体" w:eastAsia="新宋体" w:cs="仿宋_GB2312"/>
          <w:sz w:val="24"/>
          <w:u w:val="single"/>
        </w:rPr>
        <w:t>不得转借他用或泄露给第三方</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1.5.2 承包人文件</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需要由承包人提供的文件，包括：</w:t>
      </w:r>
      <w:r>
        <w:rPr>
          <w:rFonts w:hint="eastAsia" w:ascii="新宋体" w:hAnsi="新宋体" w:eastAsia="新宋体" w:cs="仿宋_GB2312"/>
          <w:sz w:val="24"/>
          <w:u w:val="single"/>
        </w:rPr>
        <w:t>投标文件技术部分、经济标部分，经济标电子光盘（含定额软件版）、施工组织设计方案、施工进度计划等</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承包人提供的文件的期限为：</w:t>
      </w:r>
      <w:r>
        <w:rPr>
          <w:rFonts w:hint="eastAsia" w:ascii="新宋体" w:hAnsi="新宋体" w:eastAsia="新宋体" w:cs="仿宋_GB2312"/>
          <w:sz w:val="24"/>
          <w:u w:val="single"/>
        </w:rPr>
        <w:t>成交通知公布后一周内提供</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承包人提供的文件的数量为：</w:t>
      </w:r>
      <w:r>
        <w:rPr>
          <w:rFonts w:hint="eastAsia" w:ascii="新宋体" w:hAnsi="新宋体" w:eastAsia="新宋体" w:cs="仿宋_GB2312"/>
          <w:sz w:val="24"/>
          <w:u w:val="single"/>
        </w:rPr>
        <w:t>投标文件技术部分、经济标部分一式四份，经济标（正本扫描件）电子光盘一份，其它内容另行协商；</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1.6 联络</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1.6.1发包人和承包人应当在</w:t>
      </w:r>
      <w:r>
        <w:rPr>
          <w:rFonts w:hint="eastAsia" w:ascii="新宋体" w:hAnsi="新宋体" w:eastAsia="新宋体" w:cs="仿宋_GB2312"/>
          <w:sz w:val="24"/>
          <w:u w:val="single"/>
        </w:rPr>
        <w:t xml:space="preserve">3  </w:t>
      </w:r>
      <w:r>
        <w:rPr>
          <w:rFonts w:hint="eastAsia" w:ascii="新宋体" w:hAnsi="新宋体" w:eastAsia="新宋体" w:cs="仿宋_GB2312"/>
          <w:kern w:val="0"/>
          <w:sz w:val="24"/>
        </w:rPr>
        <w:t>天内将与合同有关的通知、批准、证明、证书、指示、指令、要求、请求、同意、意见、确定和决定等书面函件送达对方当事人。</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1.6.2发包人接收文件的地点：</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发包人指定的接收人为：</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承包人接收文件的地点：</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承包人指定的接收人为：</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1.7 交通运输</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1.7.1 出</w:t>
      </w:r>
      <w:bookmarkStart w:id="102" w:name="_Toc312677986"/>
      <w:bookmarkStart w:id="103" w:name="_Toc303539100"/>
      <w:bookmarkStart w:id="104" w:name="_Toc300934943"/>
      <w:bookmarkStart w:id="105" w:name="_Toc318581155"/>
      <w:bookmarkStart w:id="106" w:name="_Toc304295521"/>
      <w:r>
        <w:rPr>
          <w:rFonts w:hint="eastAsia" w:ascii="新宋体" w:hAnsi="新宋体" w:eastAsia="新宋体" w:cs="仿宋_GB2312"/>
          <w:sz w:val="24"/>
        </w:rPr>
        <w:t>入现场的权利</w:t>
      </w:r>
    </w:p>
    <w:p>
      <w:pPr>
        <w:pStyle w:val="52"/>
        <w:overflowPunct w:val="0"/>
        <w:topLinePunct/>
        <w:spacing w:beforeLines="0"/>
        <w:ind w:firstLine="480"/>
        <w:rPr>
          <w:rFonts w:cs="仿宋_GB2312"/>
          <w:kern w:val="2"/>
          <w:u w:val="single"/>
        </w:rPr>
      </w:pPr>
      <w:r>
        <w:rPr>
          <w:rFonts w:hint="eastAsia" w:cs="仿宋_GB2312"/>
        </w:rPr>
        <w:t>关于出入现场的权利的约定：（</w:t>
      </w:r>
      <w:r>
        <w:rPr>
          <w:rFonts w:hint="eastAsia" w:cs="仿宋_GB2312"/>
          <w:kern w:val="2"/>
          <w:u w:val="single"/>
        </w:rPr>
        <w:t>1）承包人应遵守施工属地的管理规定，在施工前须按国家和学校的相关防疫规定做好防疫措施；按照</w:t>
      </w:r>
      <w:r>
        <w:rPr>
          <w:rFonts w:hint="eastAsia" w:cs="仿宋_GB2312"/>
          <w:u w:val="single"/>
        </w:rPr>
        <w:t>发包人保卫处的要求办理出入证，其它约定按发包人的相关管理制度执行</w:t>
      </w:r>
      <w:r>
        <w:rPr>
          <w:rFonts w:hint="eastAsia" w:cs="仿宋_GB2312"/>
        </w:rPr>
        <w:t>。</w:t>
      </w:r>
      <w:r>
        <w:rPr>
          <w:rFonts w:hint="eastAsia" w:cs="仿宋_GB2312"/>
          <w:u w:val="single"/>
        </w:rPr>
        <w:t>（2）承包人应根据施工需要，负责取得出入施工现场所需的批准手续和全部权利，以及取得因施工所需修建道路、桥梁以及其他基础设施的权利，并承担相关手续费用和建设费用。承包人应办理修建场内外道路、桥梁以及其他基础设施的手续</w:t>
      </w:r>
      <w:r>
        <w:rPr>
          <w:rFonts w:hint="eastAsia" w:cs="仿宋_GB2312"/>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1.7.</w:t>
      </w:r>
      <w:bookmarkEnd w:id="102"/>
      <w:bookmarkEnd w:id="103"/>
      <w:bookmarkEnd w:id="104"/>
      <w:bookmarkEnd w:id="105"/>
      <w:bookmarkEnd w:id="106"/>
      <w:r>
        <w:rPr>
          <w:rFonts w:hint="eastAsia" w:ascii="新宋体" w:hAnsi="新宋体" w:eastAsia="新宋体" w:cs="仿宋_GB2312"/>
          <w:sz w:val="24"/>
        </w:rPr>
        <w:t>2 场</w:t>
      </w:r>
      <w:bookmarkStart w:id="107" w:name="_Toc300934944"/>
      <w:bookmarkStart w:id="108" w:name="_Toc304295522"/>
      <w:bookmarkStart w:id="109" w:name="_Toc318581156"/>
      <w:bookmarkStart w:id="110" w:name="_Toc312677987"/>
      <w:bookmarkStart w:id="111" w:name="_Toc303539101"/>
      <w:r>
        <w:rPr>
          <w:rFonts w:hint="eastAsia" w:ascii="新宋体" w:hAnsi="新宋体" w:eastAsia="新宋体" w:cs="仿宋_GB2312"/>
          <w:sz w:val="24"/>
        </w:rPr>
        <w:t>内交通</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关于场外交通和场内交通的边界的约定：</w:t>
      </w:r>
      <w:r>
        <w:rPr>
          <w:rFonts w:hint="eastAsia" w:ascii="新宋体" w:hAnsi="新宋体" w:eastAsia="新宋体" w:cs="仿宋_GB2312"/>
          <w:sz w:val="24"/>
          <w:u w:val="single"/>
        </w:rPr>
        <w:t>按发包人的有关规定执行</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关于发包人向承包人免费提供满足工程施工需要的场内道路和交通设施的约定：</w:t>
      </w:r>
      <w:r>
        <w:rPr>
          <w:rFonts w:hint="eastAsia" w:ascii="新宋体" w:hAnsi="新宋体" w:eastAsia="新宋体" w:cs="仿宋_GB2312"/>
          <w:sz w:val="24"/>
          <w:u w:val="single"/>
        </w:rPr>
        <w:t>按发包人的有关规定执行</w:t>
      </w:r>
      <w:r>
        <w:rPr>
          <w:rFonts w:hint="eastAsia" w:ascii="新宋体" w:hAnsi="新宋体" w:eastAsia="新宋体" w:cs="仿宋_GB2312"/>
          <w:sz w:val="24"/>
        </w:rPr>
        <w:t xml:space="preserve">。  </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w:t>
      </w:r>
      <w:bookmarkEnd w:id="107"/>
      <w:bookmarkEnd w:id="108"/>
      <w:bookmarkEnd w:id="109"/>
      <w:bookmarkEnd w:id="110"/>
      <w:bookmarkEnd w:id="111"/>
      <w:bookmarkStart w:id="112" w:name="_Toc318581157"/>
      <w:r>
        <w:rPr>
          <w:rFonts w:hint="eastAsia" w:ascii="新宋体" w:hAnsi="新宋体" w:eastAsia="新宋体" w:cs="仿宋_GB2312"/>
          <w:sz w:val="24"/>
        </w:rPr>
        <w:t>7.3 超大件和超重件的运输</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运输超大件或超重件所需的道路和桥梁临时加固改造费用和其他有关费用由</w:t>
      </w:r>
      <w:r>
        <w:rPr>
          <w:rFonts w:hint="eastAsia" w:ascii="新宋体" w:hAnsi="新宋体" w:eastAsia="新宋体" w:cs="仿宋_GB2312"/>
          <w:sz w:val="24"/>
          <w:u w:val="single"/>
        </w:rPr>
        <w:t xml:space="preserve"> 承包人 </w:t>
      </w:r>
      <w:r>
        <w:rPr>
          <w:rFonts w:hint="eastAsia" w:ascii="新宋体" w:hAnsi="新宋体" w:eastAsia="新宋体" w:cs="仿宋_GB2312"/>
          <w:sz w:val="24"/>
        </w:rPr>
        <w:t>承担。</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1.8 知识</w:t>
      </w:r>
      <w:bookmarkEnd w:id="112"/>
      <w:r>
        <w:rPr>
          <w:rFonts w:hint="eastAsia" w:ascii="新宋体" w:hAnsi="新宋体" w:eastAsia="新宋体" w:cs="仿宋_GB2312"/>
          <w:sz w:val="24"/>
        </w:rPr>
        <w:t>产权</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1.8.1关于发包人提供给承包人的图纸、发包人为实施工程自行编制或委托编制的技术规范以及反映发包人关于合同要求或其他类似性质的文件的著作权的归属：</w:t>
      </w:r>
      <w:r>
        <w:rPr>
          <w:rFonts w:hint="eastAsia" w:ascii="新宋体" w:hAnsi="新宋体" w:eastAsia="新宋体" w:cs="仿宋_GB2312"/>
          <w:sz w:val="24"/>
          <w:u w:val="single"/>
        </w:rPr>
        <w:t xml:space="preserve">发包人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关于发包人提供的上述文件的使用限制的要求：</w:t>
      </w:r>
      <w:r>
        <w:rPr>
          <w:rFonts w:hint="eastAsia" w:ascii="新宋体" w:hAnsi="新宋体" w:eastAsia="新宋体" w:cs="仿宋_GB2312"/>
          <w:sz w:val="24"/>
          <w:u w:val="single"/>
        </w:rPr>
        <w:t xml:space="preserve"> 按国家相关规定执行</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1.8.2 关于承包人为实施工程所编制文件的著作权的归属：</w:t>
      </w:r>
      <w:r>
        <w:rPr>
          <w:rFonts w:hint="eastAsia" w:ascii="新宋体" w:hAnsi="新宋体" w:eastAsia="新宋体" w:cs="仿宋_GB2312"/>
          <w:sz w:val="24"/>
          <w:u w:val="single"/>
        </w:rPr>
        <w:t>按国家规定执行</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关于承包人提供的上述文件的使用限制的要求：</w:t>
      </w:r>
      <w:r>
        <w:rPr>
          <w:rFonts w:hint="eastAsia" w:ascii="新宋体" w:hAnsi="新宋体" w:eastAsia="新宋体" w:cs="仿宋_GB2312"/>
          <w:sz w:val="24"/>
          <w:u w:val="single"/>
        </w:rPr>
        <w:t>按国家规定执行</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1.8.3 承包人在施工过程中所采用的专利、专有技术、技术秘密的使用费的承担方式：</w:t>
      </w:r>
      <w:r>
        <w:rPr>
          <w:rFonts w:hint="eastAsia" w:ascii="新宋体" w:hAnsi="新宋体" w:eastAsia="新宋体" w:cs="仿宋_GB2312"/>
          <w:sz w:val="24"/>
          <w:u w:val="single"/>
        </w:rPr>
        <w:t>由承包人承担</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1.9工程量清单错误的修正</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出现工程量偏差时，是否调整合同价格：</w:t>
      </w:r>
      <w:r>
        <w:rPr>
          <w:rFonts w:hint="eastAsia" w:ascii="新宋体" w:hAnsi="新宋体" w:eastAsia="新宋体" w:cs="仿宋_GB2312"/>
          <w:sz w:val="24"/>
          <w:u w:val="single"/>
        </w:rPr>
        <w:t xml:space="preserve"> 是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sz w:val="24"/>
        </w:rPr>
        <w:t>允许调整合同价格的工程量偏差范围：</w:t>
      </w:r>
      <w:r>
        <w:rPr>
          <w:rFonts w:hint="eastAsia" w:ascii="新宋体" w:hAnsi="新宋体" w:eastAsia="新宋体" w:cs="仿宋_GB2312"/>
          <w:sz w:val="24"/>
          <w:u w:val="single"/>
        </w:rPr>
        <w:t>按《广东省建设工程计价依据（2018）》《广东省房屋建筑与装饰工程综合定额（2018）》《广东省市政工程综合定额（2018）》《广东省通用安装工程综合定额（2018）》《广东省园林绿化工程综合定额（2018）》《广东省建设工程施工机具台班费用编制规则（2018）》等广东省计价办法和综合定额，以及《建设工程工程量清单计价规范（GB50500-2013）》的相关规定执行</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kern w:val="0"/>
          <w:sz w:val="24"/>
          <w:u w:val="single"/>
        </w:rPr>
      </w:pPr>
      <w:r>
        <w:rPr>
          <w:rFonts w:hint="eastAsia" w:ascii="新宋体" w:hAnsi="新宋体" w:eastAsia="新宋体" w:cs="仿宋_GB2312"/>
          <w:kern w:val="0"/>
          <w:sz w:val="24"/>
        </w:rPr>
        <w:t>合同价格调整：</w:t>
      </w:r>
      <w:r>
        <w:rPr>
          <w:rFonts w:hint="eastAsia" w:ascii="新宋体" w:hAnsi="新宋体" w:eastAsia="新宋体" w:cs="仿宋_GB2312"/>
          <w:sz w:val="24"/>
          <w:u w:val="single"/>
        </w:rPr>
        <w:t>本合同项目的工程承包价是由承包人以招标文件的图纸和工程量清单以及招标文件的规定等为依据，采用工程量清单计价法，根据中华人民共和国国家标准《建设工程工程量清单计价规范》（GB50500-2013）、《广东省建设工程计价依据（2018）》和</w:t>
      </w:r>
      <w:r>
        <w:rPr>
          <w:rFonts w:hint="eastAsia" w:ascii="新宋体" w:hAnsi="新宋体" w:eastAsia="新宋体" w:cs="仿宋_GB2312"/>
          <w:bCs/>
          <w:sz w:val="24"/>
          <w:u w:val="single"/>
        </w:rPr>
        <w:t>《广东省住房和城乡建设厅关于调整广东省建设工程计价依据增值税税率的通知》（粤建标函〔2019〕819号）（税金按增值税9%，其他人工、材料、机械按增值税方式计）</w:t>
      </w:r>
      <w:r>
        <w:rPr>
          <w:rFonts w:hint="eastAsia" w:ascii="新宋体" w:hAnsi="新宋体" w:eastAsia="新宋体" w:cs="仿宋_GB2312"/>
          <w:sz w:val="24"/>
          <w:u w:val="single"/>
        </w:rPr>
        <w:t>及工程计价办法，按招标文件中工程量清单所列的工作内容和工程量填报相应的综合单价后，累计合价加上措施项目费、其它项目费和税金等计算出合同总价。工程结算时，合同内工程量清单的项目内容，中标综合单价为结算单价，原则上不作调整，工程量按实计算</w:t>
      </w:r>
      <w:r>
        <w:rPr>
          <w:rFonts w:hint="eastAsia" w:ascii="新宋体" w:hAnsi="新宋体" w:eastAsia="新宋体" w:cs="仿宋_GB2312"/>
          <w:kern w:val="0"/>
          <w:sz w:val="24"/>
          <w:u w:val="single"/>
        </w:rPr>
        <w:t>；措施</w:t>
      </w:r>
      <w:r>
        <w:rPr>
          <w:rFonts w:hint="eastAsia" w:ascii="新宋体" w:hAnsi="新宋体" w:eastAsia="新宋体" w:cs="仿宋_GB2312"/>
          <w:sz w:val="24"/>
          <w:u w:val="single"/>
        </w:rPr>
        <w:t>费（包括绿色施工安全防护和其他措施费）按中标报价总价包干计算</w:t>
      </w:r>
      <w:r>
        <w:rPr>
          <w:rFonts w:hint="eastAsia" w:ascii="新宋体" w:hAnsi="新宋体" w:eastAsia="新宋体" w:cs="仿宋_GB2312"/>
          <w:kern w:val="0"/>
          <w:sz w:val="24"/>
          <w:u w:val="single"/>
        </w:rPr>
        <w:t>。</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sz w:val="24"/>
          <w:u w:val="single"/>
        </w:rPr>
        <w:t>变更、工程签证或合同内工程量清单少计、漏计等原因造成工程量与中标报价工程量清单或预算书中列明的该项目工程量变化幅度超过15%的，按照合理的成本与利润构成的原则，变更、工程签证和合同内工程量清单少计、漏计变化幅度超过15%以上工程量的单价按照发包人招标控制价的单价计算，若招标控制价的单价高于中标报价的单价，则按照中标报价的单价计算。</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 发包人</w:t>
      </w:r>
    </w:p>
    <w:p>
      <w:pPr>
        <w:overflowPunct w:val="0"/>
        <w:topLinePunct/>
        <w:spacing w:line="360" w:lineRule="auto"/>
        <w:ind w:firstLine="480" w:firstLineChars="200"/>
        <w:rPr>
          <w:rFonts w:ascii="新宋体" w:hAnsi="新宋体" w:eastAsia="新宋体" w:cs="仿宋_GB2312"/>
          <w:sz w:val="24"/>
        </w:rPr>
      </w:pPr>
      <w:bookmarkStart w:id="113" w:name="_Toc351203634"/>
      <w:r>
        <w:rPr>
          <w:rFonts w:hint="eastAsia" w:ascii="新宋体" w:hAnsi="新宋体" w:eastAsia="新宋体" w:cs="仿宋_GB2312"/>
          <w:sz w:val="24"/>
        </w:rPr>
        <w:t>2</w:t>
      </w:r>
      <w:bookmarkStart w:id="114" w:name="_Toc292559362"/>
      <w:bookmarkStart w:id="115" w:name="_Toc292559867"/>
      <w:bookmarkStart w:id="116" w:name="_Toc296347156"/>
      <w:bookmarkStart w:id="117" w:name="_Toc296891197"/>
      <w:bookmarkStart w:id="118" w:name="_Toc297048343"/>
      <w:bookmarkStart w:id="119" w:name="_Toc297120457"/>
      <w:bookmarkStart w:id="120" w:name="_Toc296503157"/>
      <w:bookmarkStart w:id="121" w:name="_Toc296944496"/>
      <w:bookmarkStart w:id="122" w:name="_Toc296890985"/>
      <w:bookmarkStart w:id="123" w:name="_Toc296346658"/>
      <w:r>
        <w:rPr>
          <w:rFonts w:hint="eastAsia" w:ascii="新宋体" w:hAnsi="新宋体" w:eastAsia="新宋体" w:cs="仿宋_GB2312"/>
          <w:sz w:val="24"/>
        </w:rPr>
        <w:t>.1 发包</w:t>
      </w:r>
      <w:bookmarkEnd w:id="113"/>
      <w:r>
        <w:rPr>
          <w:rFonts w:hint="eastAsia" w:ascii="新宋体" w:hAnsi="新宋体" w:eastAsia="新宋体" w:cs="仿宋_GB2312"/>
          <w:sz w:val="24"/>
        </w:rPr>
        <w:t>人</w:t>
      </w:r>
      <w:bookmarkEnd w:id="114"/>
      <w:bookmarkEnd w:id="115"/>
      <w:bookmarkEnd w:id="116"/>
      <w:bookmarkEnd w:id="117"/>
      <w:bookmarkEnd w:id="118"/>
      <w:bookmarkEnd w:id="119"/>
      <w:bookmarkEnd w:id="120"/>
      <w:bookmarkEnd w:id="121"/>
      <w:bookmarkEnd w:id="122"/>
      <w:bookmarkEnd w:id="123"/>
      <w:r>
        <w:rPr>
          <w:rFonts w:hint="eastAsia" w:ascii="新宋体" w:hAnsi="新宋体" w:eastAsia="新宋体" w:cs="仿宋_GB2312"/>
          <w:sz w:val="24"/>
        </w:rPr>
        <w:t>代表</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发包人代表：</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姓    名：</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u w:val="single"/>
        </w:rPr>
        <w:t xml:space="preserve">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职    务：</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联系电话：</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通信地址：</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b/>
          <w:sz w:val="24"/>
        </w:rPr>
      </w:pPr>
      <w:r>
        <w:rPr>
          <w:rFonts w:hint="eastAsia" w:ascii="新宋体" w:hAnsi="新宋体" w:eastAsia="新宋体" w:cs="仿宋_GB2312"/>
          <w:sz w:val="24"/>
        </w:rPr>
        <w:t>发包人对发包人代表的授权范围如下：</w:t>
      </w:r>
      <w:r>
        <w:rPr>
          <w:rFonts w:hint="eastAsia" w:ascii="新宋体" w:hAnsi="新宋体" w:eastAsia="新宋体" w:cs="仿宋_GB2312"/>
          <w:sz w:val="24"/>
          <w:u w:val="single"/>
        </w:rPr>
        <w:t>行使发包人的权力，监督检查工程施工进度及质量，负责现场有关经济和技术方面的签证，与本工程相关的文件、资料须由发包人基础建设部盖章确认后方可生效。涉及合同核心条款的变更，按原合同程序办理手续。工程签证、变更按发包人校内规章制度等规定执行</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2.2 施工现场、施工条件和基础资料的提供</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2.2.1提供施工现场</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关于发包人移交施工现场的期限要求：</w:t>
      </w:r>
      <w:r>
        <w:rPr>
          <w:rFonts w:hint="eastAsia" w:ascii="新宋体" w:hAnsi="新宋体" w:eastAsia="新宋体" w:cs="仿宋_GB2312"/>
          <w:sz w:val="24"/>
          <w:u w:val="single"/>
        </w:rPr>
        <w:t>施工进场前移交</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 承包人</w:t>
      </w:r>
    </w:p>
    <w:p>
      <w:pPr>
        <w:overflowPunct w:val="0"/>
        <w:topLinePunct/>
        <w:spacing w:line="360" w:lineRule="auto"/>
        <w:ind w:firstLine="480" w:firstLineChars="200"/>
        <w:rPr>
          <w:rFonts w:ascii="新宋体" w:hAnsi="新宋体" w:eastAsia="新宋体" w:cs="仿宋_GB2312"/>
          <w:sz w:val="24"/>
        </w:rPr>
      </w:pPr>
      <w:bookmarkStart w:id="124" w:name="_Toc351203635"/>
      <w:r>
        <w:rPr>
          <w:rFonts w:hint="eastAsia" w:ascii="新宋体" w:hAnsi="新宋体" w:eastAsia="新宋体" w:cs="仿宋_GB2312"/>
          <w:sz w:val="24"/>
        </w:rPr>
        <w:t>3</w:t>
      </w:r>
      <w:bookmarkStart w:id="125" w:name="_Toc296347157"/>
      <w:bookmarkStart w:id="126" w:name="_Toc297048344"/>
      <w:bookmarkStart w:id="127" w:name="_Toc296890986"/>
      <w:bookmarkStart w:id="128" w:name="_Toc297120458"/>
      <w:bookmarkStart w:id="129" w:name="_Toc296346659"/>
      <w:bookmarkStart w:id="130" w:name="_Toc296503158"/>
      <w:bookmarkStart w:id="131" w:name="_Toc292559868"/>
      <w:bookmarkStart w:id="132" w:name="_Toc292559363"/>
      <w:bookmarkStart w:id="133" w:name="_Toc296891198"/>
      <w:bookmarkStart w:id="134" w:name="_Toc296944497"/>
      <w:r>
        <w:rPr>
          <w:rFonts w:hint="eastAsia" w:ascii="新宋体" w:hAnsi="新宋体" w:eastAsia="新宋体" w:cs="仿宋_GB2312"/>
          <w:sz w:val="24"/>
        </w:rPr>
        <w:t>.1 承包</w:t>
      </w:r>
      <w:bookmarkEnd w:id="124"/>
      <w:r>
        <w:rPr>
          <w:rFonts w:hint="eastAsia" w:ascii="新宋体" w:hAnsi="新宋体" w:eastAsia="新宋体" w:cs="仿宋_GB2312"/>
          <w:sz w:val="24"/>
        </w:rPr>
        <w:t>人</w:t>
      </w:r>
      <w:bookmarkEnd w:id="125"/>
      <w:bookmarkEnd w:id="126"/>
      <w:bookmarkEnd w:id="127"/>
      <w:bookmarkEnd w:id="128"/>
      <w:bookmarkEnd w:id="129"/>
      <w:bookmarkEnd w:id="130"/>
      <w:bookmarkEnd w:id="131"/>
      <w:bookmarkEnd w:id="132"/>
      <w:bookmarkEnd w:id="133"/>
      <w:bookmarkEnd w:id="134"/>
      <w:r>
        <w:rPr>
          <w:rFonts w:hint="eastAsia" w:ascii="新宋体" w:hAnsi="新宋体" w:eastAsia="新宋体" w:cs="仿宋_GB2312"/>
          <w:sz w:val="24"/>
        </w:rPr>
        <w:t>的一般义务</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kern w:val="0"/>
          <w:sz w:val="24"/>
        </w:rPr>
        <w:t>1.</w:t>
      </w:r>
      <w:r>
        <w:rPr>
          <w:rFonts w:hint="eastAsia" w:ascii="新宋体" w:hAnsi="新宋体" w:eastAsia="新宋体" w:cs="仿宋_GB2312"/>
          <w:sz w:val="24"/>
        </w:rPr>
        <w:t>承包人提交的竣工资料包含且不限于以下内容：</w:t>
      </w:r>
    </w:p>
    <w:p>
      <w:pPr>
        <w:numPr>
          <w:ilvl w:val="0"/>
          <w:numId w:val="6"/>
        </w:numPr>
        <w:overflowPunct w:val="0"/>
        <w:topLinePunct/>
        <w:spacing w:line="360" w:lineRule="auto"/>
        <w:ind w:left="951"/>
        <w:rPr>
          <w:rFonts w:ascii="新宋体" w:hAnsi="新宋体" w:eastAsia="新宋体" w:cs="仿宋_GB2312"/>
          <w:sz w:val="24"/>
        </w:rPr>
      </w:pPr>
      <w:r>
        <w:rPr>
          <w:rFonts w:hint="eastAsia" w:ascii="新宋体" w:hAnsi="新宋体" w:eastAsia="新宋体" w:cs="仿宋_GB2312"/>
          <w:sz w:val="24"/>
        </w:rPr>
        <w:t>工程竣工图（含电子版）；</w:t>
      </w:r>
    </w:p>
    <w:p>
      <w:pPr>
        <w:numPr>
          <w:ilvl w:val="0"/>
          <w:numId w:val="6"/>
        </w:numPr>
        <w:overflowPunct w:val="0"/>
        <w:topLinePunct/>
        <w:spacing w:line="360" w:lineRule="auto"/>
        <w:ind w:left="951"/>
        <w:rPr>
          <w:rFonts w:ascii="新宋体" w:hAnsi="新宋体" w:eastAsia="新宋体" w:cs="仿宋_GB2312"/>
          <w:sz w:val="24"/>
        </w:rPr>
      </w:pPr>
      <w:r>
        <w:rPr>
          <w:rFonts w:hint="eastAsia" w:ascii="新宋体" w:hAnsi="新宋体" w:eastAsia="新宋体" w:cs="仿宋_GB2312"/>
          <w:sz w:val="24"/>
        </w:rPr>
        <w:t>工程竣工资料（含电子版）；</w:t>
      </w:r>
    </w:p>
    <w:p>
      <w:pPr>
        <w:numPr>
          <w:ilvl w:val="0"/>
          <w:numId w:val="6"/>
        </w:numPr>
        <w:overflowPunct w:val="0"/>
        <w:topLinePunct/>
        <w:spacing w:line="360" w:lineRule="auto"/>
        <w:ind w:left="951"/>
        <w:rPr>
          <w:rFonts w:ascii="新宋体" w:hAnsi="新宋体" w:eastAsia="新宋体" w:cs="仿宋_GB2312"/>
          <w:sz w:val="24"/>
        </w:rPr>
      </w:pPr>
      <w:r>
        <w:rPr>
          <w:rFonts w:hint="eastAsia" w:ascii="新宋体" w:hAnsi="新宋体" w:eastAsia="新宋体" w:cs="仿宋_GB2312"/>
          <w:sz w:val="24"/>
        </w:rPr>
        <w:t>开工报告</w:t>
      </w:r>
    </w:p>
    <w:p>
      <w:pPr>
        <w:numPr>
          <w:ilvl w:val="0"/>
          <w:numId w:val="6"/>
        </w:numPr>
        <w:overflowPunct w:val="0"/>
        <w:topLinePunct/>
        <w:spacing w:line="360" w:lineRule="auto"/>
        <w:ind w:left="951"/>
        <w:rPr>
          <w:rFonts w:ascii="新宋体" w:hAnsi="新宋体" w:eastAsia="新宋体" w:cs="仿宋_GB2312"/>
          <w:sz w:val="24"/>
        </w:rPr>
      </w:pPr>
      <w:r>
        <w:rPr>
          <w:rFonts w:hint="eastAsia" w:ascii="新宋体" w:hAnsi="新宋体" w:eastAsia="新宋体" w:cs="仿宋_GB2312"/>
          <w:sz w:val="24"/>
        </w:rPr>
        <w:t>图纸会审纪要</w:t>
      </w:r>
    </w:p>
    <w:p>
      <w:pPr>
        <w:numPr>
          <w:ilvl w:val="0"/>
          <w:numId w:val="6"/>
        </w:numPr>
        <w:overflowPunct w:val="0"/>
        <w:topLinePunct/>
        <w:spacing w:line="360" w:lineRule="auto"/>
        <w:ind w:left="951"/>
        <w:rPr>
          <w:rFonts w:ascii="新宋体" w:hAnsi="新宋体" w:eastAsia="新宋体" w:cs="仿宋_GB2312"/>
          <w:sz w:val="24"/>
        </w:rPr>
      </w:pPr>
      <w:r>
        <w:rPr>
          <w:rFonts w:hint="eastAsia" w:ascii="新宋体" w:hAnsi="新宋体" w:eastAsia="新宋体" w:cs="仿宋_GB2312"/>
          <w:sz w:val="24"/>
        </w:rPr>
        <w:t>工程洽商记录、工程联系单、工程签证单及报价资料</w:t>
      </w:r>
    </w:p>
    <w:p>
      <w:pPr>
        <w:numPr>
          <w:ilvl w:val="0"/>
          <w:numId w:val="6"/>
        </w:numPr>
        <w:overflowPunct w:val="0"/>
        <w:topLinePunct/>
        <w:spacing w:line="360" w:lineRule="auto"/>
        <w:ind w:left="951"/>
        <w:rPr>
          <w:rFonts w:ascii="新宋体" w:hAnsi="新宋体" w:eastAsia="新宋体" w:cs="仿宋_GB2312"/>
          <w:sz w:val="24"/>
        </w:rPr>
      </w:pPr>
      <w:r>
        <w:rPr>
          <w:rFonts w:hint="eastAsia" w:ascii="新宋体" w:hAnsi="新宋体" w:eastAsia="新宋体" w:cs="仿宋_GB2312"/>
          <w:sz w:val="24"/>
        </w:rPr>
        <w:t>材料、设备看样定板手续</w:t>
      </w:r>
    </w:p>
    <w:p>
      <w:pPr>
        <w:numPr>
          <w:ilvl w:val="0"/>
          <w:numId w:val="6"/>
        </w:numPr>
        <w:overflowPunct w:val="0"/>
        <w:topLinePunct/>
        <w:spacing w:line="360" w:lineRule="auto"/>
        <w:ind w:left="951"/>
        <w:rPr>
          <w:rFonts w:ascii="新宋体" w:hAnsi="新宋体" w:eastAsia="新宋体" w:cs="仿宋_GB2312"/>
          <w:sz w:val="24"/>
        </w:rPr>
      </w:pPr>
      <w:r>
        <w:rPr>
          <w:rFonts w:hint="eastAsia" w:ascii="新宋体" w:hAnsi="新宋体" w:eastAsia="新宋体" w:cs="仿宋_GB2312"/>
          <w:sz w:val="24"/>
        </w:rPr>
        <w:t>材料、设备进场报验单</w:t>
      </w:r>
    </w:p>
    <w:p>
      <w:pPr>
        <w:numPr>
          <w:ilvl w:val="0"/>
          <w:numId w:val="6"/>
        </w:numPr>
        <w:overflowPunct w:val="0"/>
        <w:topLinePunct/>
        <w:spacing w:line="360" w:lineRule="auto"/>
        <w:ind w:left="951"/>
        <w:rPr>
          <w:rFonts w:ascii="新宋体" w:hAnsi="新宋体" w:eastAsia="新宋体" w:cs="仿宋_GB2312"/>
          <w:sz w:val="24"/>
        </w:rPr>
      </w:pPr>
      <w:r>
        <w:rPr>
          <w:rFonts w:hint="eastAsia" w:ascii="新宋体" w:hAnsi="新宋体" w:eastAsia="新宋体" w:cs="仿宋_GB2312"/>
          <w:sz w:val="24"/>
        </w:rPr>
        <w:t>隐蔽工程验收记录</w:t>
      </w:r>
    </w:p>
    <w:p>
      <w:pPr>
        <w:numPr>
          <w:ilvl w:val="0"/>
          <w:numId w:val="6"/>
        </w:numPr>
        <w:overflowPunct w:val="0"/>
        <w:topLinePunct/>
        <w:spacing w:line="360" w:lineRule="auto"/>
        <w:ind w:left="951"/>
        <w:rPr>
          <w:rFonts w:ascii="新宋体" w:hAnsi="新宋体" w:eastAsia="新宋体" w:cs="仿宋_GB2312"/>
          <w:sz w:val="24"/>
        </w:rPr>
      </w:pPr>
      <w:r>
        <w:rPr>
          <w:rFonts w:hint="eastAsia" w:ascii="新宋体" w:hAnsi="新宋体" w:eastAsia="新宋体" w:cs="仿宋_GB2312"/>
          <w:sz w:val="24"/>
        </w:rPr>
        <w:t>各种试验、实验、检测记录</w:t>
      </w:r>
    </w:p>
    <w:p>
      <w:pPr>
        <w:numPr>
          <w:ilvl w:val="0"/>
          <w:numId w:val="6"/>
        </w:numPr>
        <w:overflowPunct w:val="0"/>
        <w:topLinePunct/>
        <w:spacing w:line="360" w:lineRule="auto"/>
        <w:ind w:left="951"/>
        <w:rPr>
          <w:rFonts w:ascii="新宋体" w:hAnsi="新宋体" w:eastAsia="新宋体" w:cs="仿宋_GB2312"/>
          <w:sz w:val="24"/>
        </w:rPr>
      </w:pPr>
      <w:r>
        <w:rPr>
          <w:rFonts w:hint="eastAsia" w:ascii="新宋体" w:hAnsi="新宋体" w:eastAsia="新宋体" w:cs="仿宋_GB2312"/>
          <w:sz w:val="24"/>
        </w:rPr>
        <w:t>竣工验收报告</w:t>
      </w:r>
    </w:p>
    <w:p>
      <w:pPr>
        <w:numPr>
          <w:ilvl w:val="0"/>
          <w:numId w:val="6"/>
        </w:numPr>
        <w:overflowPunct w:val="0"/>
        <w:topLinePunct/>
        <w:spacing w:line="360" w:lineRule="auto"/>
        <w:ind w:left="951"/>
        <w:rPr>
          <w:rFonts w:ascii="新宋体" w:hAnsi="新宋体" w:eastAsia="新宋体" w:cs="仿宋_GB2312"/>
          <w:sz w:val="24"/>
        </w:rPr>
      </w:pPr>
      <w:r>
        <w:rPr>
          <w:rFonts w:hint="eastAsia" w:ascii="新宋体" w:hAnsi="新宋体" w:eastAsia="新宋体" w:cs="仿宋_GB2312"/>
          <w:sz w:val="24"/>
        </w:rPr>
        <w:t>结清施工期间的水电费用票据（若有）</w:t>
      </w:r>
    </w:p>
    <w:p>
      <w:pPr>
        <w:numPr>
          <w:ilvl w:val="0"/>
          <w:numId w:val="6"/>
        </w:numPr>
        <w:overflowPunct w:val="0"/>
        <w:topLinePunct/>
        <w:spacing w:line="360" w:lineRule="auto"/>
        <w:ind w:left="951"/>
        <w:rPr>
          <w:rFonts w:ascii="新宋体" w:hAnsi="新宋体" w:eastAsia="新宋体" w:cs="仿宋_GB2312"/>
          <w:sz w:val="24"/>
        </w:rPr>
      </w:pPr>
      <w:r>
        <w:rPr>
          <w:rFonts w:hint="eastAsia" w:ascii="新宋体" w:hAnsi="新宋体" w:eastAsia="新宋体" w:cs="仿宋_GB2312"/>
          <w:sz w:val="24"/>
        </w:rPr>
        <w:t>其他资料根据发包人要求提供的资料。</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承包人需要提交的竣工资料套数：</w:t>
      </w:r>
      <w:r>
        <w:rPr>
          <w:rFonts w:hint="eastAsia" w:ascii="新宋体" w:hAnsi="新宋体" w:eastAsia="新宋体" w:cs="仿宋_GB2312"/>
          <w:sz w:val="24"/>
          <w:u w:val="single"/>
        </w:rPr>
        <w:t>一式三份</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承包人提交的竣工资料的费用承担：</w:t>
      </w:r>
      <w:r>
        <w:rPr>
          <w:rFonts w:hint="eastAsia" w:ascii="新宋体" w:hAnsi="新宋体" w:eastAsia="新宋体" w:cs="仿宋_GB2312"/>
          <w:sz w:val="24"/>
          <w:u w:val="single"/>
        </w:rPr>
        <w:t xml:space="preserve">由承包人自行承担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承包人提交的竣工资料移交时间：</w:t>
      </w:r>
      <w:r>
        <w:rPr>
          <w:rFonts w:hint="eastAsia" w:ascii="新宋体" w:hAnsi="新宋体" w:eastAsia="新宋体" w:cs="仿宋_GB2312"/>
          <w:sz w:val="24"/>
          <w:u w:val="single"/>
        </w:rPr>
        <w:t>竣工验收时提交完整的竣工资料一式三份</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承包人提交的竣工资料形式要求：</w:t>
      </w:r>
      <w:r>
        <w:rPr>
          <w:rFonts w:hint="eastAsia" w:ascii="新宋体" w:hAnsi="新宋体" w:eastAsia="新宋体" w:cs="仿宋_GB2312"/>
          <w:sz w:val="24"/>
          <w:u w:val="single"/>
        </w:rPr>
        <w:t>按发包人的相关要求</w:t>
      </w:r>
      <w:r>
        <w:rPr>
          <w:rFonts w:hint="eastAsia" w:ascii="新宋体" w:hAnsi="新宋体" w:eastAsia="新宋体" w:cs="仿宋_GB2312"/>
          <w:sz w:val="24"/>
        </w:rPr>
        <w:t>。</w:t>
      </w:r>
    </w:p>
    <w:p>
      <w:pPr>
        <w:pStyle w:val="52"/>
        <w:overflowPunct w:val="0"/>
        <w:topLinePunct/>
        <w:spacing w:beforeLines="0"/>
        <w:ind w:firstLine="480"/>
        <w:rPr>
          <w:rFonts w:cs="仿宋_GB2312"/>
        </w:rPr>
      </w:pPr>
      <w:r>
        <w:rPr>
          <w:rFonts w:hint="eastAsia" w:cs="仿宋_GB2312"/>
        </w:rPr>
        <w:t>2.承包人应履行的其他义务：</w:t>
      </w:r>
      <w:r>
        <w:rPr>
          <w:rFonts w:hint="eastAsia" w:cs="仿宋_GB2312"/>
          <w:u w:val="single"/>
        </w:rPr>
        <w:t xml:space="preserve">a.协助发包人办理施工所需的有关证件；b.工程施工过程如占用部分道路时，征得发包人同意后承包人派出人员对道路的交通进行维护疏导所发生的费用由承包人负责；c.为确保文明施工，并按发包人基建工程管理办法落实；d.开工前发包人将施工用水、用电接至施工场地边缘，在接驳点后承包人安装独立水表、电表，根据施工需要自行解决施工现场内的水电管线，按水表、电表实际用量及学校水电费的收费标准缴至学校相关部门；e.承包人未遵守校园管理的各项规定而给发包人造成损失的，承包人应予赔偿并承担一般违约责任 </w:t>
      </w:r>
      <w:r>
        <w:rPr>
          <w:rFonts w:hint="eastAsia" w:cs="仿宋_GB2312"/>
        </w:rPr>
        <w:t>。</w:t>
      </w:r>
    </w:p>
    <w:p>
      <w:pPr>
        <w:pStyle w:val="52"/>
        <w:overflowPunct w:val="0"/>
        <w:topLinePunct/>
        <w:spacing w:beforeLines="0"/>
        <w:ind w:firstLine="480"/>
        <w:rPr>
          <w:rFonts w:cs="仿宋_GB2312"/>
          <w:u w:val="single"/>
        </w:rPr>
      </w:pPr>
      <w:r>
        <w:rPr>
          <w:rFonts w:hint="eastAsia" w:cs="仿宋_GB2312"/>
          <w:u w:val="single"/>
        </w:rPr>
        <w:t>3.合同约定的工程项目，承包人不得转包，必须分包的少量子项目工程和专业工程，事先须取得发包人的同意并在施工合同中确认。否则，发包人有权单方面终止合同，并令其立即退场，由此造成的一切经济损失（包括质量、安全事故、拖延工期、增加投资等损失）由承包人负责赔偿。发包人按工程建设程序可另行选择本工程的施工单位。</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3.2 项目经理</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kern w:val="0"/>
          <w:sz w:val="24"/>
        </w:rPr>
        <w:t xml:space="preserve">3.2.1 </w:t>
      </w:r>
      <w:r>
        <w:rPr>
          <w:rFonts w:hint="eastAsia" w:ascii="新宋体" w:hAnsi="新宋体" w:eastAsia="新宋体" w:cs="仿宋_GB2312"/>
          <w:sz w:val="24"/>
        </w:rPr>
        <w:t>项目经理：</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姓    名：</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身份证号：</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建造师执业资格等级：</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建造师注册证书号：</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sz w:val="24"/>
        </w:rPr>
        <w:t>建造师执业印章号：</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安全生产考核合格证书号：</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联系电话：</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sz w:val="24"/>
        </w:rPr>
        <w:t>电子信箱：</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通信地址：</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承包人对项目经理的授权范围如下：</w:t>
      </w:r>
      <w:r>
        <w:rPr>
          <w:rFonts w:hint="eastAsia" w:ascii="新宋体" w:hAnsi="新宋体" w:eastAsia="新宋体" w:cs="仿宋_GB2312"/>
          <w:sz w:val="24"/>
          <w:u w:val="single"/>
        </w:rPr>
        <w:t>担任本项目的项目经理，全面负责项目现场的施工管理，负责工程质量、工程进度和安全文明施工</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kern w:val="0"/>
          <w:sz w:val="24"/>
        </w:rPr>
        <w:t>关于项目经理每月在施工现场的时间要求：</w:t>
      </w:r>
      <w:r>
        <w:rPr>
          <w:rFonts w:hint="eastAsia" w:ascii="新宋体" w:hAnsi="新宋体" w:eastAsia="新宋体" w:cs="仿宋_GB2312"/>
          <w:sz w:val="24"/>
          <w:u w:val="single"/>
        </w:rPr>
        <w:t>项目经理及现场管理机构主要部门负责人必须全职在现场办公，不得兼职或者擅自离岗。</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sz w:val="24"/>
          <w:u w:val="single"/>
        </w:rPr>
        <w:t>本合同所称“现场办公”，指在工程实施过程中，项目经理及承包人现场管理机构主要部门负责人必须在施工场地全职上班，履行各自的职责。</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承包人未提交劳动合同，以及没有为项目经理缴纳社会保险证明的违约责任：</w:t>
      </w:r>
      <w:r>
        <w:rPr>
          <w:rFonts w:hint="eastAsia" w:ascii="新宋体" w:hAnsi="新宋体" w:eastAsia="新宋体" w:cs="仿宋_GB2312"/>
          <w:sz w:val="24"/>
          <w:u w:val="single"/>
        </w:rPr>
        <w:t>发包人有权要求更换项目经理</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kern w:val="0"/>
          <w:sz w:val="24"/>
        </w:rPr>
        <w:t>项目经理未经批准，擅自离开施工现场的违约责任：</w:t>
      </w:r>
      <w:r>
        <w:rPr>
          <w:rFonts w:hint="eastAsia" w:ascii="新宋体" w:hAnsi="新宋体" w:eastAsia="新宋体" w:cs="仿宋_GB2312"/>
          <w:sz w:val="24"/>
          <w:u w:val="single"/>
        </w:rPr>
        <w:t>因特殊情况需短暂离岗的，应当事先报监理人和发包人批准，必须妥善安排工地现场的工作交接，并按以下规定执行：</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（1）离场时须将工作交接情况知会现场监理工程师和发包人；</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（2）但一个月内累计离场时间不得超过5天（含节假日）。</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若违反上述规定，发包人可发出停工令，待人员回到岗位后才批准复工。承包人必须就此作出书面解释和保证，自行承担由此产生的工期延误等损失，并罚款1000元</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3.2.2 承包人擅自更换项目经理的违约责任：</w:t>
      </w:r>
      <w:r>
        <w:rPr>
          <w:rFonts w:hint="eastAsia" w:ascii="新宋体" w:hAnsi="新宋体" w:eastAsia="新宋体" w:cs="仿宋_GB2312"/>
          <w:sz w:val="24"/>
          <w:u w:val="single"/>
        </w:rPr>
        <w:t>除了限期整改外，还要向发包人支付违约金0.5万元/次。承包人拒不限期改正的，必须承担严重违约责任，直至发包人部分或全部解除合同。</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3.2.3 承包人无正当理由拒绝更换项目经理的违约责任：</w:t>
      </w:r>
      <w:r>
        <w:rPr>
          <w:rFonts w:hint="eastAsia" w:ascii="新宋体" w:hAnsi="新宋体" w:eastAsia="新宋体" w:cs="仿宋_GB2312"/>
          <w:sz w:val="24"/>
          <w:u w:val="single"/>
        </w:rPr>
        <w:t>自发包人发出更换要求7日后，发包人可认为该岗位已空缺，发包人有权暂缓支付工程款，并有权直接聘请合适人员，聘请人员所需费用由发包人直接向所聘人员支付，所支付的费用发包人有权从工程款中直接扣除。</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3.3 承包人人员</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3.3.1 承包人提交项目管理机构及施工现场管理人员安排报告的期限：</w:t>
      </w:r>
      <w:r>
        <w:rPr>
          <w:rFonts w:hint="eastAsia" w:ascii="新宋体" w:hAnsi="新宋体" w:eastAsia="新宋体" w:cs="仿宋_GB2312"/>
          <w:sz w:val="24"/>
          <w:u w:val="single"/>
        </w:rPr>
        <w:t xml:space="preserve"> 开工前一周内提交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3.3.2 承包人无正当理由拒绝撤换主要施工管理人员的违约责任：</w:t>
      </w:r>
      <w:r>
        <w:rPr>
          <w:rFonts w:hint="eastAsia" w:ascii="新宋体" w:hAnsi="新宋体" w:eastAsia="新宋体" w:cs="仿宋_GB2312"/>
          <w:sz w:val="24"/>
          <w:u w:val="single"/>
        </w:rPr>
        <w:t>在管理过程中若发包人认为更换后的主要施工管理人员无法胜任此岗位的则发包人有权要求重新更换，直到更换能胜任为止。每被发包人要求更换一次则扣1000元作为处罚，在更换的人员到岗前发包人有权要求承包人停工，且工期不顺延，总工期不变，若延误工期则按相应的条款进行处罚</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3.3.3承包人主要施工管理人员离开施工现场的批准要求：</w:t>
      </w:r>
      <w:r>
        <w:rPr>
          <w:rFonts w:hint="eastAsia" w:ascii="新宋体" w:hAnsi="新宋体" w:eastAsia="新宋体" w:cs="仿宋_GB2312"/>
          <w:sz w:val="24"/>
          <w:u w:val="single"/>
        </w:rPr>
        <w:t>因特殊情况需短暂离岗的，应当事先报监理人及发包人，得到批准后方可离开。</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3.3.4承包人擅自更换主要施工管理人员的违约责任：</w:t>
      </w:r>
      <w:r>
        <w:rPr>
          <w:rFonts w:hint="eastAsia" w:ascii="新宋体" w:hAnsi="新宋体" w:eastAsia="新宋体" w:cs="仿宋_GB2312"/>
          <w:sz w:val="24"/>
          <w:u w:val="single"/>
        </w:rPr>
        <w:t xml:space="preserve">在管理过程中若发包人认为更换后的主要施工管理人员无法胜任此岗位的则发包人有权要求重新更换，直到更换能胜任为止。每被发包人要求更换一次则扣1000元作为处罚，在更换的人员到岗前发包人有权要求承包人停工，且工期不顺延，若延误工期则按相应的条款进行处罚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承包人主要施工管理人员擅自离开施工现场的违约责任：</w:t>
      </w:r>
      <w:r>
        <w:rPr>
          <w:rFonts w:hint="eastAsia" w:ascii="新宋体" w:hAnsi="新宋体" w:eastAsia="新宋体" w:cs="仿宋_GB2312"/>
          <w:sz w:val="24"/>
          <w:u w:val="single"/>
        </w:rPr>
        <w:t xml:space="preserve"> 按本合同第三部分专用条款第3.2.2条进行处罚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3.4工程照管与成品、半成品保护</w:t>
      </w:r>
    </w:p>
    <w:p>
      <w:pPr>
        <w:overflowPunct w:val="0"/>
        <w:topLinePunct/>
        <w:spacing w:line="360" w:lineRule="auto"/>
        <w:ind w:firstLine="480" w:firstLineChars="200"/>
        <w:rPr>
          <w:rFonts w:ascii="新宋体" w:hAnsi="新宋体" w:eastAsia="新宋体" w:cs="仿宋_GB2312"/>
          <w:kern w:val="0"/>
          <w:sz w:val="24"/>
          <w:u w:val="single"/>
        </w:rPr>
      </w:pPr>
      <w:r>
        <w:rPr>
          <w:rFonts w:hint="eastAsia" w:ascii="新宋体" w:hAnsi="新宋体" w:eastAsia="新宋体" w:cs="仿宋_GB2312"/>
          <w:kern w:val="0"/>
          <w:sz w:val="24"/>
        </w:rPr>
        <w:t>承包人负责照管工程及工程相关的材料、工程设备的起始时间：</w:t>
      </w:r>
      <w:r>
        <w:rPr>
          <w:rFonts w:hint="eastAsia" w:ascii="新宋体" w:hAnsi="新宋体" w:eastAsia="新宋体" w:cs="仿宋_GB2312"/>
          <w:kern w:val="0"/>
          <w:sz w:val="24"/>
          <w:u w:val="single"/>
        </w:rPr>
        <w:t xml:space="preserve">工程开工至通过竣工验收交付使用前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3.5履约担保</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承包人是否提供履约担保：</w:t>
      </w:r>
      <w:r>
        <w:rPr>
          <w:rFonts w:hint="eastAsia" w:ascii="新宋体" w:hAnsi="新宋体" w:eastAsia="新宋体" w:cs="仿宋_GB2312"/>
          <w:sz w:val="24"/>
          <w:u w:val="single"/>
        </w:rPr>
        <w:t xml:space="preserve"> 是 。</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承包人提供合同总价的5％的履约保证金，待提交结算资料经审核后退还。</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承包人提供履约担保的形式、金额及期限的：履约保证金为成交金额（合同总价）的5％，成交公告公示后，预付款申请前，承包人需将履约保证金缴纳到广东外语外贸大学相应账户，提供缴纳凭证作为请款依据，广东外语外贸大学缴纳履约保证金的账户信息如下：</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 xml:space="preserve">账户：广东外语外贸大学     </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账号：</w:t>
      </w:r>
      <w:r>
        <w:rPr>
          <w:rFonts w:ascii="新宋体" w:hAnsi="新宋体" w:eastAsia="新宋体" w:cs="仿宋_GB2312"/>
          <w:sz w:val="24"/>
          <w:u w:val="single"/>
        </w:rPr>
        <w:t xml:space="preserve">         </w:t>
      </w:r>
      <w:r>
        <w:rPr>
          <w:rFonts w:hint="eastAsia" w:ascii="新宋体" w:hAnsi="新宋体" w:eastAsia="新宋体" w:cs="仿宋_GB2312"/>
          <w:sz w:val="24"/>
          <w:u w:val="single"/>
        </w:rPr>
        <w:t xml:space="preserve">        </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 xml:space="preserve">开户银行： </w:t>
      </w:r>
      <w:r>
        <w:rPr>
          <w:rFonts w:ascii="新宋体" w:hAnsi="新宋体" w:eastAsia="新宋体" w:cs="仿宋_GB2312"/>
          <w:sz w:val="24"/>
          <w:u w:val="single"/>
        </w:rPr>
        <w:t xml:space="preserve">            </w:t>
      </w:r>
      <w:r>
        <w:rPr>
          <w:rFonts w:hint="eastAsia" w:ascii="新宋体" w:hAnsi="新宋体" w:eastAsia="新宋体" w:cs="仿宋_GB2312"/>
          <w:sz w:val="24"/>
          <w:u w:val="single"/>
        </w:rPr>
        <w:t xml:space="preserve"> </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履约保证金退还：若承包人出现违约行为，发包人有权以违约处罚标准从履约保证金中扣除罚款，若承包人无出现违约行为，履约保证金在工程通过竣工验收并提交完整结算资料后15个工作日内由发包人一次性（无息）退还承包人。</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4. 监理人</w:t>
      </w:r>
    </w:p>
    <w:p>
      <w:pPr>
        <w:overflowPunct w:val="0"/>
        <w:topLinePunct/>
        <w:spacing w:line="360" w:lineRule="auto"/>
        <w:ind w:firstLine="480" w:firstLineChars="200"/>
        <w:rPr>
          <w:rFonts w:ascii="新宋体" w:hAnsi="新宋体" w:eastAsia="新宋体" w:cs="仿宋_GB2312"/>
          <w:sz w:val="24"/>
        </w:rPr>
      </w:pPr>
      <w:bookmarkStart w:id="135" w:name="_Toc351203636"/>
      <w:r>
        <w:rPr>
          <w:rFonts w:hint="eastAsia" w:ascii="新宋体" w:hAnsi="新宋体" w:eastAsia="新宋体" w:cs="仿宋_GB2312"/>
          <w:sz w:val="24"/>
        </w:rPr>
        <w:t>4</w:t>
      </w:r>
      <w:bookmarkStart w:id="136" w:name="_Toc292559871"/>
      <w:bookmarkStart w:id="137" w:name="_Toc296347161"/>
      <w:bookmarkStart w:id="138" w:name="_Toc296944501"/>
      <w:bookmarkStart w:id="139" w:name="_Toc296890990"/>
      <w:bookmarkStart w:id="140" w:name="_Toc297120462"/>
      <w:bookmarkStart w:id="141" w:name="_Toc297048348"/>
      <w:bookmarkStart w:id="142" w:name="_Toc296503162"/>
      <w:bookmarkStart w:id="143" w:name="_Toc296891202"/>
      <w:bookmarkStart w:id="144" w:name="_Toc267251413"/>
      <w:bookmarkStart w:id="145" w:name="_Toc292559366"/>
      <w:bookmarkStart w:id="146" w:name="_Toc296346663"/>
      <w:r>
        <w:rPr>
          <w:rFonts w:hint="eastAsia" w:ascii="新宋体" w:hAnsi="新宋体" w:eastAsia="新宋体" w:cs="仿宋_GB2312"/>
          <w:sz w:val="24"/>
        </w:rPr>
        <w:t>.1监</w:t>
      </w:r>
      <w:bookmarkEnd w:id="136"/>
      <w:bookmarkEnd w:id="137"/>
      <w:bookmarkEnd w:id="138"/>
      <w:bookmarkEnd w:id="139"/>
      <w:bookmarkEnd w:id="140"/>
      <w:bookmarkEnd w:id="141"/>
      <w:bookmarkEnd w:id="142"/>
      <w:bookmarkEnd w:id="143"/>
      <w:bookmarkEnd w:id="144"/>
      <w:bookmarkEnd w:id="145"/>
      <w:bookmarkEnd w:id="146"/>
      <w:r>
        <w:rPr>
          <w:rFonts w:hint="eastAsia" w:ascii="新宋体" w:hAnsi="新宋体" w:eastAsia="新宋体" w:cs="仿宋_GB2312"/>
          <w:sz w:val="24"/>
        </w:rPr>
        <w:t>理人</w:t>
      </w:r>
      <w:bookmarkEnd w:id="135"/>
      <w:r>
        <w:rPr>
          <w:rFonts w:hint="eastAsia" w:ascii="新宋体" w:hAnsi="新宋体" w:eastAsia="新宋体" w:cs="仿宋_GB2312"/>
          <w:sz w:val="24"/>
        </w:rPr>
        <w:t>的一般规定</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关于监理人的监理内容：</w:t>
      </w:r>
      <w:r>
        <w:rPr>
          <w:rFonts w:hint="eastAsia" w:ascii="新宋体" w:hAnsi="新宋体" w:eastAsia="新宋体" w:cs="仿宋_GB2312"/>
          <w:sz w:val="24"/>
          <w:u w:val="single"/>
        </w:rPr>
        <w:t xml:space="preserve">按监理合同的约定执行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关于监理人的监理权限：</w:t>
      </w:r>
      <w:r>
        <w:rPr>
          <w:rFonts w:hint="eastAsia" w:ascii="新宋体" w:hAnsi="新宋体" w:eastAsia="新宋体" w:cs="仿宋_GB2312"/>
          <w:sz w:val="24"/>
          <w:u w:val="single"/>
        </w:rPr>
        <w:t xml:space="preserve">按监理合同的约定执行 </w:t>
      </w:r>
      <w:r>
        <w:rPr>
          <w:rFonts w:hint="eastAsia" w:ascii="新宋体" w:hAnsi="新宋体" w:eastAsia="新宋体" w:cs="仿宋_GB2312"/>
          <w:sz w:val="24"/>
        </w:rPr>
        <w:t xml:space="preserve">。 </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关于监理人在施工现场的办公场所、生活场所的提供和费用承担的约定：</w:t>
      </w:r>
      <w:r>
        <w:rPr>
          <w:rFonts w:hint="eastAsia" w:ascii="新宋体" w:hAnsi="新宋体" w:eastAsia="新宋体" w:cs="仿宋_GB2312"/>
          <w:sz w:val="24"/>
          <w:u w:val="single"/>
        </w:rPr>
        <w:t>发包人提供办公场所、宿舍，其他费用由监理人自行承担</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4.2 监理人员</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总监理工程师：</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姓    名：</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职    务：</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监理工程师执业资格证书编号：</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联系电话：</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通信地址：</w:t>
      </w:r>
      <w:r>
        <w:rPr>
          <w:rFonts w:hint="eastAsia" w:ascii="新宋体" w:hAnsi="新宋体" w:eastAsia="新宋体" w:cs="仿宋_GB2312"/>
          <w:sz w:val="24"/>
          <w:u w:val="single"/>
        </w:rPr>
        <w:t xml:space="preserve"> </w:t>
      </w:r>
      <w:r>
        <w:rPr>
          <w:rFonts w:ascii="新宋体" w:hAnsi="新宋体" w:eastAsia="新宋体" w:cs="仿宋_GB2312"/>
          <w:sz w:val="24"/>
          <w:u w:val="single"/>
        </w:rPr>
        <w:t xml:space="preserve">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关于监理人的其他约定：</w:t>
      </w:r>
      <w:r>
        <w:rPr>
          <w:rFonts w:hint="eastAsia" w:ascii="新宋体" w:hAnsi="新宋体" w:eastAsia="新宋体" w:cs="仿宋_GB2312"/>
          <w:sz w:val="24"/>
          <w:u w:val="single"/>
        </w:rPr>
        <w:t xml:space="preserve">按监理合同的约定执行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4.3 商定或确定</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在发包人和承包人不能通过协商达成一致意见时，发包人授权监理人对以下事项进行确定：</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（1）</w:t>
      </w:r>
      <w:r>
        <w:rPr>
          <w:rFonts w:hint="eastAsia" w:ascii="新宋体" w:hAnsi="新宋体" w:eastAsia="新宋体" w:cs="仿宋_GB2312"/>
          <w:sz w:val="24"/>
          <w:u w:val="single"/>
        </w:rPr>
        <w:t xml:space="preserve"> 无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bookmarkStart w:id="147" w:name="_Toc267251418"/>
      <w:r>
        <w:rPr>
          <w:rFonts w:hint="eastAsia" w:ascii="新宋体" w:hAnsi="新宋体" w:eastAsia="新宋体" w:cs="仿宋_GB2312"/>
          <w:sz w:val="24"/>
        </w:rPr>
        <w:t>5. 工程质量</w:t>
      </w:r>
      <w:bookmarkStart w:id="148" w:name="_Toc351203637"/>
    </w:p>
    <w:bookmarkEnd w:id="147"/>
    <w:p>
      <w:pPr>
        <w:overflowPunct w:val="0"/>
        <w:topLinePunct/>
        <w:spacing w:line="360" w:lineRule="auto"/>
        <w:ind w:firstLine="480" w:firstLineChars="200"/>
        <w:rPr>
          <w:rFonts w:ascii="新宋体" w:hAnsi="新宋体" w:eastAsia="新宋体" w:cs="仿宋_GB2312"/>
          <w:sz w:val="24"/>
        </w:rPr>
      </w:pPr>
      <w:bookmarkStart w:id="149" w:name="_Toc296346664"/>
      <w:bookmarkStart w:id="150" w:name="_Toc297048349"/>
      <w:bookmarkStart w:id="151" w:name="_Toc297120463"/>
      <w:bookmarkStart w:id="152" w:name="_Toc296891203"/>
      <w:bookmarkStart w:id="153" w:name="_Toc292559872"/>
      <w:bookmarkStart w:id="154" w:name="_Toc296890991"/>
      <w:bookmarkStart w:id="155" w:name="_Toc296347162"/>
      <w:bookmarkStart w:id="156" w:name="_Toc296944502"/>
      <w:bookmarkStart w:id="157" w:name="_Toc292559367"/>
      <w:bookmarkStart w:id="158" w:name="_Toc296503163"/>
      <w:r>
        <w:rPr>
          <w:rFonts w:hint="eastAsia" w:ascii="新宋体" w:hAnsi="新宋体" w:eastAsia="新宋体" w:cs="仿宋_GB2312"/>
          <w:sz w:val="24"/>
        </w:rPr>
        <w:t>5.1 质量</w:t>
      </w:r>
      <w:bookmarkEnd w:id="148"/>
      <w:r>
        <w:rPr>
          <w:rFonts w:hint="eastAsia" w:ascii="新宋体" w:hAnsi="新宋体" w:eastAsia="新宋体" w:cs="仿宋_GB2312"/>
          <w:sz w:val="24"/>
        </w:rPr>
        <w:t>要求</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5.1.1 特殊</w:t>
      </w:r>
      <w:bookmarkStart w:id="159" w:name="_Toc303539106"/>
      <w:bookmarkStart w:id="160" w:name="_Toc312677997"/>
      <w:bookmarkStart w:id="161" w:name="_Toc304295527"/>
      <w:bookmarkStart w:id="162" w:name="_Toc300934949"/>
      <w:bookmarkStart w:id="163" w:name="_Toc318581164"/>
      <w:bookmarkStart w:id="164" w:name="_Toc297123496"/>
      <w:bookmarkStart w:id="165" w:name="_Toc297216155"/>
      <w:r>
        <w:rPr>
          <w:rFonts w:hint="eastAsia" w:ascii="新宋体" w:hAnsi="新宋体" w:eastAsia="新宋体" w:cs="仿宋_GB2312"/>
          <w:sz w:val="24"/>
        </w:rPr>
        <w:t>质量标准和要求：</w:t>
      </w:r>
      <w:r>
        <w:rPr>
          <w:rFonts w:hint="eastAsia" w:ascii="新宋体" w:hAnsi="新宋体" w:eastAsia="新宋体" w:cs="仿宋_GB2312"/>
          <w:sz w:val="24"/>
          <w:u w:val="single"/>
        </w:rPr>
        <w:t>符合《工程施工质量验收规范》标准，必须达到合格标准。</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关于工程奖项的约定：</w:t>
      </w:r>
      <w:r>
        <w:rPr>
          <w:rFonts w:hint="eastAsia" w:ascii="新宋体" w:hAnsi="新宋体" w:eastAsia="新宋体" w:cs="仿宋_GB2312"/>
          <w:sz w:val="24"/>
          <w:u w:val="single"/>
        </w:rPr>
        <w:t xml:space="preserve"> 无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6. 安全文明</w:t>
      </w:r>
      <w:bookmarkStart w:id="166" w:name="_Toc351203638"/>
      <w:r>
        <w:rPr>
          <w:rFonts w:hint="eastAsia" w:ascii="新宋体" w:hAnsi="新宋体" w:eastAsia="新宋体" w:cs="仿宋_GB2312"/>
          <w:sz w:val="24"/>
        </w:rPr>
        <w:t>施工与环境保护</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6.1 安全文</w:t>
      </w:r>
      <w:bookmarkEnd w:id="166"/>
      <w:r>
        <w:rPr>
          <w:rFonts w:hint="eastAsia" w:ascii="新宋体" w:hAnsi="新宋体" w:eastAsia="新宋体" w:cs="仿宋_GB2312"/>
          <w:sz w:val="24"/>
        </w:rPr>
        <w:t>明施工</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6.1.1 项目安全生产的达标目标及相应事项的约定：</w:t>
      </w:r>
      <w:r>
        <w:rPr>
          <w:rFonts w:hint="eastAsia" w:ascii="新宋体" w:hAnsi="新宋体" w:eastAsia="新宋体" w:cs="仿宋_GB2312"/>
          <w:sz w:val="24"/>
          <w:u w:val="single"/>
        </w:rPr>
        <w:t xml:space="preserve"> 按国家、省及市有关法律法规执行并保证文明施工安全生产 。</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6.1.2 关于治安保卫的特别约定</w:t>
      </w:r>
      <w:r>
        <w:rPr>
          <w:rFonts w:hint="eastAsia" w:ascii="新宋体" w:hAnsi="新宋体" w:eastAsia="新宋体" w:cs="仿宋_GB2312"/>
          <w:sz w:val="24"/>
          <w:u w:val="single"/>
        </w:rPr>
        <w:t xml:space="preserve">： 按发包人校园管理有关规定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6.1.3 文明施工</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1.合同当事人对文明施工的要求：</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1）承包人应严格遵守国家、省、市有关防火和施工安全以及文明施工、深夜施工、环卫和城管等规定，建立规章制度和防护措施，并承担由于自身措施不力造成事故责任和发生的费用。施工现场要求全封闭管理，二十四小时保卫值班，在施工阶段做出安全措施，防火防盗，防止工伤事故和意外伤害的发生。提供和维修非夜间施工使用的照明、围栏设施等安全标志。</w:t>
      </w:r>
    </w:p>
    <w:p>
      <w:pPr>
        <w:pStyle w:val="52"/>
        <w:overflowPunct w:val="0"/>
        <w:topLinePunct/>
        <w:spacing w:beforeLines="0"/>
        <w:ind w:firstLine="480"/>
        <w:rPr>
          <w:rFonts w:cs="仿宋_GB2312"/>
          <w:kern w:val="2"/>
          <w:u w:val="single"/>
        </w:rPr>
      </w:pPr>
      <w:r>
        <w:rPr>
          <w:rFonts w:hint="eastAsia" w:cs="仿宋_GB2312"/>
          <w:kern w:val="2"/>
          <w:u w:val="single"/>
        </w:rPr>
        <w:t>（2）承包人应按当地政府的规定办理有关施工场地交通、环卫、施工噪音、余泥排放手续，承担由此发生的费用，并在施工前书面知会发包人。按有关行政主管部门规定办理，在发包人校内需到保卫等部门办理有关手续。</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3）施工场地周围地下管线和邻近建筑物、构筑物（含文物保护建筑）、古树名木的保护要求及费用承担：由承包人负责保护，保护措施费由承包人负责。因承包人原因保护不当造成的邻近建筑物、构筑物等设施的损坏，由承包人承担由此发生的费用与责任。</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4）施工场地清洁卫生的要求：施工期间按有关行政主管部门的规定及文明施工要求。承包人应保证完工后七天内退出现场，在退场前应拆除临建工棚、施工设备并运走，及时清运本工程施工时所留余泥、建筑垃圾、多余土方等，并以通过发包人验收为标准，以保证施工范围及周边环境的干净、整洁。如未及时清理，则按违约处理，发包人按每天50元/㎡扣除场地占用费，直至按要求搬迁为止（直至扣完全部场地占用保证押金）；或者逾期不拆及不清运，发包人也有权安排其他单位完成，以上所需费用直接从承包人工程结算款中扣除。</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（5）承包人须按照扬尘污染防治管理以及费用专项使用的监管方案等的要求，制定相关措施，编制建设工程施工扬尘污染防治专项方案计划。</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（6）承包人在施工时，必须采取措施保护相关家具、设备、建筑物设施及周边绿化等不被损坏，如有损坏由承包人负责恢复原貌，发生的费用由承包人负责承担。</w:t>
      </w:r>
    </w:p>
    <w:p>
      <w:pPr>
        <w:overflowPunct w:val="0"/>
        <w:topLinePunct/>
        <w:spacing w:line="360" w:lineRule="auto"/>
        <w:ind w:firstLine="560"/>
        <w:rPr>
          <w:rFonts w:ascii="新宋体" w:hAnsi="新宋体" w:eastAsia="新宋体" w:cs="仿宋_GB2312"/>
          <w:sz w:val="24"/>
          <w:u w:val="single"/>
        </w:rPr>
      </w:pPr>
      <w:r>
        <w:rPr>
          <w:rFonts w:hint="eastAsia" w:ascii="新宋体" w:hAnsi="新宋体" w:eastAsia="新宋体" w:cs="仿宋_GB2312"/>
          <w:sz w:val="24"/>
          <w:u w:val="single"/>
        </w:rPr>
        <w:t>（7）承包人应遵守施工属地的管理规定，在施工前须按国家和工程所在地社区的相关防疫规定做好防疫措施。</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（8）国家、省市其它有关文明施工规定、发包人校园管理有关规定和招标文件的约定。</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2.关于绿色施工安全防护措施费支付比例和支付期限的约定：</w:t>
      </w:r>
      <w:r>
        <w:rPr>
          <w:rFonts w:hint="eastAsia" w:ascii="新宋体" w:hAnsi="新宋体" w:eastAsia="新宋体" w:cs="仿宋_GB2312"/>
          <w:sz w:val="24"/>
          <w:u w:val="single"/>
        </w:rPr>
        <w:t xml:space="preserve"> 符合开工条件，支付50%；工程竣工验收合格，无安全事故发生，支付50%。</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u w:val="single"/>
        </w:rPr>
        <w:t>3.承包人应落实按绿色文明施工、安全防护要求进行施工，施工现场的保护由承包人负责，由于防护措施不力造成的安全事故和人员伤亡等，其损失及相关费用由承包人自行承担。</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 工期和进</w:t>
      </w:r>
      <w:bookmarkEnd w:id="159"/>
      <w:bookmarkEnd w:id="160"/>
      <w:bookmarkEnd w:id="161"/>
      <w:bookmarkEnd w:id="162"/>
      <w:bookmarkEnd w:id="163"/>
      <w:bookmarkEnd w:id="164"/>
      <w:bookmarkEnd w:id="165"/>
      <w:bookmarkStart w:id="167" w:name="_Toc351203639"/>
      <w:r>
        <w:rPr>
          <w:rFonts w:hint="eastAsia" w:ascii="新宋体" w:hAnsi="新宋体" w:eastAsia="新宋体" w:cs="仿宋_GB2312"/>
          <w:sz w:val="24"/>
        </w:rPr>
        <w:t>度</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7.1 施工</w:t>
      </w:r>
      <w:bookmarkEnd w:id="167"/>
      <w:r>
        <w:rPr>
          <w:rFonts w:hint="eastAsia" w:ascii="新宋体" w:hAnsi="新宋体" w:eastAsia="新宋体" w:cs="仿宋_GB2312"/>
          <w:sz w:val="24"/>
        </w:rPr>
        <w:t>组织设计</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sz w:val="24"/>
        </w:rPr>
        <w:t>7.1.1 合</w:t>
      </w:r>
      <w:r>
        <w:rPr>
          <w:rFonts w:hint="eastAsia" w:ascii="新宋体" w:hAnsi="新宋体" w:eastAsia="新宋体" w:cs="仿宋_GB2312"/>
          <w:kern w:val="0"/>
          <w:sz w:val="24"/>
        </w:rPr>
        <w:t>同当事人约定的施工组织设计应包括的其他内容：</w:t>
      </w:r>
      <w:r>
        <w:rPr>
          <w:rFonts w:hint="eastAsia" w:ascii="新宋体" w:hAnsi="新宋体" w:eastAsia="新宋体" w:cs="仿宋_GB2312"/>
          <w:sz w:val="24"/>
          <w:u w:val="single"/>
        </w:rPr>
        <w:t xml:space="preserve"> /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sz w:val="24"/>
        </w:rPr>
        <w:t xml:space="preserve">7.1.2 </w:t>
      </w:r>
      <w:r>
        <w:rPr>
          <w:rFonts w:hint="eastAsia" w:ascii="新宋体" w:hAnsi="新宋体" w:eastAsia="新宋体" w:cs="仿宋_GB2312"/>
          <w:kern w:val="0"/>
          <w:sz w:val="24"/>
        </w:rPr>
        <w:t>施工组织设计的提交和修改</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kern w:val="0"/>
          <w:sz w:val="24"/>
        </w:rPr>
        <w:t>承包人提交详细施工组织设计的期限的约定：</w:t>
      </w:r>
      <w:r>
        <w:rPr>
          <w:rFonts w:hint="eastAsia" w:ascii="新宋体" w:hAnsi="新宋体" w:eastAsia="新宋体" w:cs="仿宋_GB2312"/>
          <w:sz w:val="24"/>
          <w:u w:val="single"/>
        </w:rPr>
        <w:t xml:space="preserve">开工前一周内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发包人在收到详细的施工组织设计后确认或提出修改意见的期限：</w:t>
      </w:r>
      <w:r>
        <w:rPr>
          <w:rFonts w:hint="eastAsia" w:ascii="新宋体" w:hAnsi="新宋体" w:eastAsia="新宋体" w:cs="仿宋_GB2312"/>
          <w:sz w:val="24"/>
          <w:u w:val="single"/>
        </w:rPr>
        <w:t>三天内</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7.2 施工进度</w:t>
      </w:r>
      <w:bookmarkStart w:id="168" w:name="_Toc312678005"/>
      <w:bookmarkStart w:id="169" w:name="_Toc303539123"/>
      <w:bookmarkStart w:id="170" w:name="_Toc300934966"/>
      <w:bookmarkStart w:id="171" w:name="_Toc297216173"/>
      <w:bookmarkStart w:id="172" w:name="_Toc297123514"/>
      <w:bookmarkStart w:id="173" w:name="_Toc304295541"/>
      <w:bookmarkStart w:id="174" w:name="_Toc312677479"/>
      <w:r>
        <w:rPr>
          <w:rFonts w:hint="eastAsia" w:ascii="新宋体" w:hAnsi="新宋体" w:eastAsia="新宋体" w:cs="仿宋_GB2312"/>
          <w:sz w:val="24"/>
        </w:rPr>
        <w:t>计划</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7.2.1 施工进度计划的修订</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发包人在收到修订的施工进度计划后确认或提出修改意见的期限：</w:t>
      </w:r>
      <w:r>
        <w:rPr>
          <w:rFonts w:hint="eastAsia" w:ascii="新宋体" w:hAnsi="新宋体" w:eastAsia="新宋体" w:cs="仿宋_GB2312"/>
          <w:sz w:val="24"/>
          <w:u w:val="single"/>
        </w:rPr>
        <w:t>三天</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7.3 开工</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7.3.1 开工准备</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关于承包人提交</w:t>
      </w:r>
      <w:r>
        <w:rPr>
          <w:rFonts w:hint="eastAsia" w:ascii="新宋体" w:hAnsi="新宋体" w:eastAsia="新宋体" w:cs="仿宋_GB2312"/>
          <w:kern w:val="0"/>
          <w:sz w:val="24"/>
        </w:rPr>
        <w:t>工程开工报审表的期限：</w:t>
      </w:r>
      <w:r>
        <w:rPr>
          <w:rFonts w:hint="eastAsia" w:ascii="新宋体" w:hAnsi="新宋体" w:eastAsia="新宋体" w:cs="仿宋_GB2312"/>
          <w:sz w:val="24"/>
          <w:u w:val="single"/>
        </w:rPr>
        <w:t xml:space="preserve">开工前三天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关于发包人应完成的其他开工准备工作及期限：</w:t>
      </w:r>
      <w:r>
        <w:rPr>
          <w:rFonts w:hint="eastAsia" w:ascii="新宋体" w:hAnsi="新宋体" w:eastAsia="新宋体" w:cs="仿宋_GB2312"/>
          <w:sz w:val="24"/>
          <w:u w:val="single"/>
        </w:rPr>
        <w:t xml:space="preserve">开工前一天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关于承包人应完成的其他开工准备工作及期限：</w:t>
      </w:r>
      <w:r>
        <w:rPr>
          <w:rFonts w:hint="eastAsia" w:ascii="新宋体" w:hAnsi="新宋体" w:eastAsia="新宋体" w:cs="仿宋_GB2312"/>
          <w:sz w:val="24"/>
          <w:u w:val="single"/>
        </w:rPr>
        <w:t xml:space="preserve">开工前一天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7.3.2开工通知</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7.4 工期延</w:t>
      </w:r>
      <w:bookmarkEnd w:id="168"/>
      <w:bookmarkEnd w:id="169"/>
      <w:bookmarkEnd w:id="170"/>
      <w:bookmarkEnd w:id="171"/>
      <w:bookmarkEnd w:id="172"/>
      <w:bookmarkEnd w:id="173"/>
      <w:bookmarkEnd w:id="174"/>
      <w:r>
        <w:rPr>
          <w:rFonts w:hint="eastAsia" w:ascii="新宋体" w:hAnsi="新宋体" w:eastAsia="新宋体" w:cs="仿宋_GB2312"/>
          <w:sz w:val="24"/>
        </w:rPr>
        <w:t>误</w:t>
      </w:r>
      <w:bookmarkStart w:id="175" w:name="_Toc300934968"/>
      <w:bookmarkStart w:id="176" w:name="_Toc297123516"/>
      <w:bookmarkStart w:id="177" w:name="_Toc297216175"/>
      <w:bookmarkStart w:id="178" w:name="_Toc303539125"/>
      <w:bookmarkStart w:id="179" w:name="_Toc304295546"/>
      <w:bookmarkStart w:id="180" w:name="_Toc312678010"/>
      <w:bookmarkStart w:id="181" w:name="_Toc312677484"/>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7.4.1因</w:t>
      </w:r>
      <w:bookmarkEnd w:id="175"/>
      <w:bookmarkEnd w:id="176"/>
      <w:bookmarkEnd w:id="177"/>
      <w:bookmarkEnd w:id="178"/>
      <w:bookmarkEnd w:id="179"/>
      <w:bookmarkEnd w:id="180"/>
      <w:bookmarkEnd w:id="181"/>
      <w:r>
        <w:rPr>
          <w:rFonts w:hint="eastAsia" w:ascii="新宋体" w:hAnsi="新宋体" w:eastAsia="新宋体" w:cs="仿宋_GB2312"/>
          <w:sz w:val="24"/>
        </w:rPr>
        <w:t>发包人原因导致工期延误</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因发包人原因导致工期延误的其他情形：</w:t>
      </w:r>
      <w:r>
        <w:rPr>
          <w:rFonts w:hint="eastAsia" w:ascii="新宋体" w:hAnsi="新宋体" w:eastAsia="新宋体" w:cs="仿宋_GB2312"/>
          <w:sz w:val="24"/>
          <w:u w:val="single"/>
        </w:rPr>
        <w:t xml:space="preserve">若非承包人原因而拖延，按发包人签证顺延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7.4.2 因承</w:t>
      </w:r>
      <w:bookmarkStart w:id="182" w:name="_Toc312678012"/>
      <w:bookmarkStart w:id="183" w:name="_Toc318581169"/>
      <w:bookmarkStart w:id="184" w:name="_Toc312677486"/>
      <w:bookmarkStart w:id="185" w:name="_Toc304295548"/>
      <w:bookmarkStart w:id="186" w:name="_Toc300934970"/>
      <w:bookmarkStart w:id="187" w:name="_Toc297216177"/>
      <w:bookmarkStart w:id="188" w:name="_Toc297123518"/>
      <w:bookmarkStart w:id="189" w:name="_Toc303539127"/>
      <w:r>
        <w:rPr>
          <w:rFonts w:hint="eastAsia" w:ascii="新宋体" w:hAnsi="新宋体" w:eastAsia="新宋体" w:cs="仿宋_GB2312"/>
          <w:sz w:val="24"/>
        </w:rPr>
        <w:t>包人原因导致工期延误</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因承包人原因造</w:t>
      </w:r>
      <w:bookmarkEnd w:id="182"/>
      <w:bookmarkEnd w:id="183"/>
      <w:bookmarkEnd w:id="184"/>
      <w:r>
        <w:rPr>
          <w:rFonts w:hint="eastAsia" w:ascii="新宋体" w:hAnsi="新宋体" w:eastAsia="新宋体" w:cs="仿宋_GB2312"/>
          <w:sz w:val="24"/>
        </w:rPr>
        <w:t>成</w:t>
      </w:r>
      <w:bookmarkStart w:id="190" w:name="_Toc312678013"/>
      <w:bookmarkStart w:id="191" w:name="_Toc312677487"/>
      <w:bookmarkStart w:id="192" w:name="_Toc318581170"/>
      <w:r>
        <w:rPr>
          <w:rFonts w:hint="eastAsia" w:ascii="新宋体" w:hAnsi="新宋体" w:eastAsia="新宋体" w:cs="仿宋_GB2312"/>
          <w:sz w:val="24"/>
        </w:rPr>
        <w:t>工期延误，逾期竣工违约金的计算方法为：</w:t>
      </w:r>
      <w:r>
        <w:rPr>
          <w:rFonts w:hint="eastAsia" w:ascii="新宋体" w:hAnsi="新宋体" w:eastAsia="新宋体" w:cs="仿宋_GB2312"/>
          <w:sz w:val="24"/>
          <w:u w:val="single"/>
        </w:rPr>
        <w:t>每日历天应赔付额度为1000元</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因承包人原因</w:t>
      </w:r>
      <w:bookmarkEnd w:id="185"/>
      <w:bookmarkEnd w:id="186"/>
      <w:bookmarkEnd w:id="187"/>
      <w:bookmarkEnd w:id="188"/>
      <w:bookmarkEnd w:id="189"/>
      <w:bookmarkEnd w:id="190"/>
      <w:bookmarkEnd w:id="191"/>
      <w:r>
        <w:rPr>
          <w:rFonts w:hint="eastAsia" w:ascii="新宋体" w:hAnsi="新宋体" w:eastAsia="新宋体" w:cs="仿宋_GB2312"/>
          <w:sz w:val="24"/>
        </w:rPr>
        <w:t>造</w:t>
      </w:r>
      <w:bookmarkEnd w:id="192"/>
      <w:r>
        <w:rPr>
          <w:rFonts w:hint="eastAsia" w:ascii="新宋体" w:hAnsi="新宋体" w:eastAsia="新宋体" w:cs="仿宋_GB2312"/>
          <w:sz w:val="24"/>
        </w:rPr>
        <w:t>成工期延误，逾期竣工违约金的</w:t>
      </w:r>
      <w:bookmarkStart w:id="193" w:name="_Toc318581171"/>
      <w:bookmarkStart w:id="194" w:name="_Toc312678014"/>
      <w:r>
        <w:rPr>
          <w:rFonts w:hint="eastAsia" w:ascii="新宋体" w:hAnsi="新宋体" w:eastAsia="新宋体" w:cs="仿宋_GB2312"/>
          <w:sz w:val="24"/>
        </w:rPr>
        <w:t>上限：</w:t>
      </w:r>
      <w:r>
        <w:rPr>
          <w:rFonts w:hint="eastAsia" w:ascii="新宋体" w:hAnsi="新宋体" w:eastAsia="新宋体" w:cs="仿宋_GB2312"/>
          <w:sz w:val="24"/>
          <w:u w:val="single"/>
        </w:rPr>
        <w:t xml:space="preserve">误期赔偿费的最高限额为合同价款的5%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7.5不利物</w:t>
      </w:r>
      <w:bookmarkEnd w:id="193"/>
      <w:bookmarkEnd w:id="194"/>
      <w:r>
        <w:rPr>
          <w:rFonts w:hint="eastAsia" w:ascii="新宋体" w:hAnsi="新宋体" w:eastAsia="新宋体" w:cs="仿宋_GB2312"/>
          <w:sz w:val="24"/>
        </w:rPr>
        <w:t>质</w:t>
      </w:r>
      <w:bookmarkStart w:id="195" w:name="_Toc312678015"/>
      <w:bookmarkStart w:id="196" w:name="_Toc303539128"/>
      <w:bookmarkStart w:id="197" w:name="_Toc300934971"/>
      <w:bookmarkStart w:id="198" w:name="_Toc297123519"/>
      <w:bookmarkStart w:id="199" w:name="_Toc297216178"/>
      <w:bookmarkStart w:id="200" w:name="_Toc304295549"/>
      <w:r>
        <w:rPr>
          <w:rFonts w:hint="eastAsia" w:ascii="新宋体" w:hAnsi="新宋体" w:eastAsia="新宋体" w:cs="仿宋_GB2312"/>
          <w:sz w:val="24"/>
        </w:rPr>
        <w:t>条件</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不</w:t>
      </w:r>
      <w:bookmarkEnd w:id="195"/>
      <w:bookmarkEnd w:id="196"/>
      <w:bookmarkEnd w:id="197"/>
      <w:bookmarkEnd w:id="198"/>
      <w:bookmarkEnd w:id="199"/>
      <w:bookmarkEnd w:id="200"/>
      <w:r>
        <w:rPr>
          <w:rFonts w:hint="eastAsia" w:ascii="新宋体" w:hAnsi="新宋体" w:eastAsia="新宋体" w:cs="仿宋_GB2312"/>
          <w:sz w:val="24"/>
        </w:rPr>
        <w:t>利物质条件的</w:t>
      </w:r>
      <w:bookmarkStart w:id="201" w:name="_Toc312678016"/>
      <w:bookmarkStart w:id="202" w:name="_Toc297123520"/>
      <w:bookmarkStart w:id="203" w:name="_Toc303539129"/>
      <w:bookmarkStart w:id="204" w:name="_Toc318581172"/>
      <w:bookmarkStart w:id="205" w:name="_Toc300934972"/>
      <w:bookmarkStart w:id="206" w:name="_Toc297216179"/>
      <w:bookmarkStart w:id="207" w:name="_Toc304295550"/>
      <w:r>
        <w:rPr>
          <w:rFonts w:hint="eastAsia" w:ascii="新宋体" w:hAnsi="新宋体" w:eastAsia="新宋体" w:cs="仿宋_GB2312"/>
          <w:sz w:val="24"/>
        </w:rPr>
        <w:t>其他情形和有关约定：</w:t>
      </w:r>
      <w:r>
        <w:rPr>
          <w:rFonts w:hint="eastAsia" w:ascii="新宋体" w:hAnsi="新宋体" w:eastAsia="新宋体" w:cs="仿宋_GB2312"/>
          <w:sz w:val="24"/>
          <w:u w:val="single"/>
        </w:rPr>
        <w:t>按国家相关规定执行</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7.6 提前竣</w:t>
      </w:r>
      <w:bookmarkEnd w:id="201"/>
      <w:bookmarkEnd w:id="202"/>
      <w:bookmarkEnd w:id="203"/>
      <w:bookmarkEnd w:id="204"/>
      <w:bookmarkEnd w:id="205"/>
      <w:bookmarkEnd w:id="206"/>
      <w:bookmarkEnd w:id="207"/>
      <w:r>
        <w:rPr>
          <w:rFonts w:hint="eastAsia" w:ascii="新宋体" w:hAnsi="新宋体" w:eastAsia="新宋体" w:cs="仿宋_GB2312"/>
          <w:sz w:val="24"/>
        </w:rPr>
        <w:t>工的奖励</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提前竣工的奖励：</w:t>
      </w:r>
      <w:r>
        <w:rPr>
          <w:rFonts w:hint="eastAsia" w:ascii="新宋体" w:hAnsi="新宋体" w:eastAsia="新宋体" w:cs="仿宋_GB2312"/>
          <w:sz w:val="24"/>
          <w:u w:val="single"/>
        </w:rPr>
        <w:t>无</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8. 材料与设</w:t>
      </w:r>
      <w:bookmarkStart w:id="208" w:name="_Toc351203640"/>
      <w:r>
        <w:rPr>
          <w:rFonts w:hint="eastAsia" w:ascii="新宋体" w:hAnsi="新宋体" w:eastAsia="新宋体" w:cs="仿宋_GB2312"/>
          <w:sz w:val="24"/>
        </w:rPr>
        <w:t>备</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8.1材料与</w:t>
      </w:r>
      <w:bookmarkEnd w:id="208"/>
      <w:r>
        <w:rPr>
          <w:rFonts w:hint="eastAsia" w:ascii="新宋体" w:hAnsi="新宋体" w:eastAsia="新宋体" w:cs="仿宋_GB2312"/>
          <w:sz w:val="24"/>
        </w:rPr>
        <w:t>工</w:t>
      </w:r>
      <w:bookmarkEnd w:id="149"/>
      <w:bookmarkEnd w:id="150"/>
      <w:bookmarkEnd w:id="151"/>
      <w:bookmarkEnd w:id="152"/>
      <w:bookmarkEnd w:id="153"/>
      <w:bookmarkEnd w:id="154"/>
      <w:bookmarkEnd w:id="155"/>
      <w:bookmarkEnd w:id="156"/>
      <w:bookmarkEnd w:id="157"/>
      <w:bookmarkEnd w:id="158"/>
      <w:r>
        <w:rPr>
          <w:rFonts w:hint="eastAsia" w:ascii="新宋体" w:hAnsi="新宋体" w:eastAsia="新宋体" w:cs="仿宋_GB2312"/>
          <w:sz w:val="24"/>
        </w:rPr>
        <w:t>程</w:t>
      </w:r>
      <w:bookmarkStart w:id="209" w:name="_Toc312678019"/>
      <w:bookmarkStart w:id="210" w:name="_Toc304295556"/>
      <w:bookmarkStart w:id="211" w:name="_Toc296891207"/>
      <w:bookmarkStart w:id="212" w:name="_Toc292559372"/>
      <w:bookmarkStart w:id="213" w:name="_Toc296503167"/>
      <w:bookmarkStart w:id="214" w:name="_Toc312677493"/>
      <w:bookmarkStart w:id="215" w:name="_Toc296346668"/>
      <w:bookmarkStart w:id="216" w:name="_Toc297120467"/>
      <w:bookmarkStart w:id="217" w:name="_Toc296347166"/>
      <w:bookmarkStart w:id="218" w:name="_Toc280868654"/>
      <w:bookmarkStart w:id="219" w:name="_Toc297048353"/>
      <w:bookmarkStart w:id="220" w:name="_Toc292559877"/>
      <w:bookmarkStart w:id="221" w:name="_Toc297216186"/>
      <w:bookmarkStart w:id="222" w:name="_Toc297123527"/>
      <w:bookmarkStart w:id="223" w:name="_Toc296890995"/>
      <w:bookmarkStart w:id="224" w:name="_Toc303539136"/>
      <w:bookmarkStart w:id="225" w:name="_Toc296944506"/>
      <w:bookmarkStart w:id="226" w:name="_Toc300934979"/>
      <w:bookmarkStart w:id="227" w:name="_Toc267251424"/>
      <w:bookmarkStart w:id="228" w:name="_Toc280868655"/>
      <w:bookmarkStart w:id="229" w:name="_Toc280868656"/>
      <w:r>
        <w:rPr>
          <w:rFonts w:hint="eastAsia" w:ascii="新宋体" w:hAnsi="新宋体" w:eastAsia="新宋体" w:cs="仿宋_GB2312"/>
          <w:sz w:val="24"/>
        </w:rPr>
        <w:t>设备的保管与使用</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8.1.1发包</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Fonts w:hint="eastAsia" w:ascii="新宋体" w:hAnsi="新宋体" w:eastAsia="新宋体" w:cs="仿宋_GB2312"/>
          <w:sz w:val="24"/>
        </w:rPr>
        <w:t>人</w:t>
      </w:r>
      <w:bookmarkStart w:id="230" w:name="_Toc292559373"/>
      <w:bookmarkStart w:id="231" w:name="_Toc292559878"/>
      <w:bookmarkStart w:id="232" w:name="_Toc296944507"/>
      <w:bookmarkStart w:id="233" w:name="_Toc297123528"/>
      <w:bookmarkStart w:id="234" w:name="_Toc297120468"/>
      <w:bookmarkStart w:id="235" w:name="_Toc312678020"/>
      <w:bookmarkStart w:id="236" w:name="_Toc296890996"/>
      <w:bookmarkStart w:id="237" w:name="_Toc297216187"/>
      <w:bookmarkStart w:id="238" w:name="_Toc300934980"/>
      <w:bookmarkStart w:id="239" w:name="_Toc296503168"/>
      <w:bookmarkStart w:id="240" w:name="_Toc297048354"/>
      <w:bookmarkStart w:id="241" w:name="_Toc318581173"/>
      <w:bookmarkStart w:id="242" w:name="_Toc303539137"/>
      <w:bookmarkStart w:id="243" w:name="_Toc296347167"/>
      <w:bookmarkStart w:id="244" w:name="_Toc312677494"/>
      <w:bookmarkStart w:id="245" w:name="_Toc296346669"/>
      <w:bookmarkStart w:id="246" w:name="_Toc304295557"/>
      <w:bookmarkStart w:id="247" w:name="_Toc296891208"/>
      <w:r>
        <w:rPr>
          <w:rFonts w:hint="eastAsia" w:ascii="新宋体" w:hAnsi="新宋体" w:eastAsia="新宋体" w:cs="仿宋_GB2312"/>
          <w:sz w:val="24"/>
        </w:rPr>
        <w:t>供应的材料设备的保管费用的承担：</w:t>
      </w:r>
      <w:r>
        <w:rPr>
          <w:rFonts w:hint="eastAsia" w:ascii="新宋体" w:hAnsi="新宋体" w:eastAsia="新宋体" w:cs="仿宋_GB2312"/>
          <w:sz w:val="24"/>
          <w:u w:val="single"/>
        </w:rPr>
        <w:t>由发包人承担</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8.2 样品</w:t>
      </w:r>
      <w:bookmarkEnd w:id="230"/>
      <w:bookmarkEnd w:id="231"/>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8.2.1 样品的报送与封存</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kern w:val="0"/>
          <w:sz w:val="24"/>
        </w:rPr>
        <w:t>需要承包人报送样品的材料或工程设备，样品的种类、名称、规格、数量要求：</w:t>
      </w:r>
      <w:r>
        <w:rPr>
          <w:rFonts w:hint="eastAsia" w:ascii="新宋体" w:hAnsi="新宋体" w:eastAsia="新宋体" w:cs="仿宋_GB2312"/>
          <w:sz w:val="24"/>
          <w:u w:val="single"/>
        </w:rPr>
        <w:t>按发包人要求执行</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9. 变更</w:t>
      </w:r>
    </w:p>
    <w:bookmarkEnd w:id="227"/>
    <w:bookmarkEnd w:id="228"/>
    <w:bookmarkEnd w:id="229"/>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Pr>
        <w:overflowPunct w:val="0"/>
        <w:topLinePunct/>
        <w:spacing w:line="360" w:lineRule="auto"/>
        <w:ind w:firstLine="480" w:firstLineChars="200"/>
        <w:rPr>
          <w:rFonts w:ascii="新宋体" w:hAnsi="新宋体" w:eastAsia="新宋体" w:cs="仿宋_GB2312"/>
          <w:sz w:val="24"/>
        </w:rPr>
      </w:pPr>
      <w:bookmarkStart w:id="248" w:name="_Toc296891021"/>
      <w:bookmarkStart w:id="249" w:name="_Toc296347192"/>
      <w:bookmarkStart w:id="250" w:name="_Toc297120493"/>
      <w:bookmarkStart w:id="251" w:name="_Toc296944532"/>
      <w:bookmarkStart w:id="252" w:name="_Toc297216199"/>
      <w:bookmarkStart w:id="253" w:name="_Toc292559398"/>
      <w:bookmarkStart w:id="254" w:name="_Toc292559903"/>
      <w:bookmarkStart w:id="255" w:name="_Toc300934989"/>
      <w:bookmarkStart w:id="256" w:name="_Toc296891233"/>
      <w:bookmarkStart w:id="257" w:name="_Toc304295566"/>
      <w:bookmarkStart w:id="258" w:name="_Toc297048379"/>
      <w:bookmarkStart w:id="259" w:name="_Toc297123540"/>
      <w:bookmarkStart w:id="260" w:name="_Toc303539146"/>
      <w:bookmarkStart w:id="261" w:name="_Toc351203642"/>
      <w:bookmarkStart w:id="262" w:name="_Toc296503193"/>
      <w:bookmarkStart w:id="263" w:name="_Toc296346694"/>
      <w:bookmarkStart w:id="264" w:name="_Toc312678025"/>
      <w:bookmarkStart w:id="265" w:name="_Toc312677499"/>
      <w:bookmarkStart w:id="266" w:name="_Toc267251441"/>
      <w:bookmarkStart w:id="267" w:name="_Toc267251433"/>
      <w:bookmarkStart w:id="268" w:name="_Toc267251435"/>
      <w:bookmarkStart w:id="269" w:name="_Toc267251440"/>
      <w:bookmarkStart w:id="270" w:name="_Toc267251439"/>
      <w:bookmarkStart w:id="271" w:name="_Toc267251437"/>
      <w:bookmarkStart w:id="272" w:name="_Toc267251442"/>
      <w:r>
        <w:rPr>
          <w:rFonts w:hint="eastAsia" w:ascii="新宋体" w:hAnsi="新宋体" w:eastAsia="新宋体" w:cs="仿宋_GB2312"/>
          <w:sz w:val="24"/>
        </w:rPr>
        <w:t>9.1变更</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Fonts w:hint="eastAsia" w:ascii="新宋体" w:hAnsi="新宋体" w:eastAsia="新宋体" w:cs="仿宋_GB2312"/>
          <w:sz w:val="24"/>
        </w:rPr>
        <w:t>的</w:t>
      </w:r>
      <w:bookmarkEnd w:id="264"/>
      <w:bookmarkEnd w:id="265"/>
      <w:r>
        <w:rPr>
          <w:rFonts w:hint="eastAsia" w:ascii="新宋体" w:hAnsi="新宋体" w:eastAsia="新宋体" w:cs="仿宋_GB2312"/>
          <w:sz w:val="24"/>
        </w:rPr>
        <w:t>范</w:t>
      </w:r>
      <w:bookmarkStart w:id="273" w:name="_Toc296347193"/>
      <w:bookmarkStart w:id="274" w:name="_Toc297048380"/>
      <w:bookmarkStart w:id="275" w:name="_Toc297123541"/>
      <w:bookmarkStart w:id="276" w:name="_Toc296503194"/>
      <w:bookmarkStart w:id="277" w:name="_Toc292559399"/>
      <w:bookmarkStart w:id="278" w:name="_Toc300934990"/>
      <w:bookmarkStart w:id="279" w:name="_Toc303539147"/>
      <w:bookmarkStart w:id="280" w:name="_Toc312677500"/>
      <w:bookmarkStart w:id="281" w:name="_Toc297120494"/>
      <w:bookmarkStart w:id="282" w:name="_Toc296346695"/>
      <w:bookmarkStart w:id="283" w:name="_Toc296891234"/>
      <w:bookmarkStart w:id="284" w:name="_Toc296891022"/>
      <w:bookmarkStart w:id="285" w:name="_Toc312678026"/>
      <w:bookmarkStart w:id="286" w:name="_Toc296944533"/>
      <w:bookmarkStart w:id="287" w:name="_Toc304295567"/>
      <w:bookmarkStart w:id="288" w:name="_Toc297216200"/>
      <w:bookmarkStart w:id="289" w:name="_Toc292559904"/>
      <w:r>
        <w:rPr>
          <w:rFonts w:hint="eastAsia" w:ascii="新宋体" w:hAnsi="新宋体" w:eastAsia="新宋体" w:cs="仿宋_GB2312"/>
          <w:sz w:val="24"/>
        </w:rPr>
        <w:t>围</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关于变更的范围的约定：</w:t>
      </w:r>
      <w:r>
        <w:rPr>
          <w:rFonts w:hint="eastAsia" w:ascii="新宋体" w:hAnsi="新宋体" w:eastAsia="新宋体" w:cs="仿宋_GB2312"/>
          <w:sz w:val="24"/>
          <w:u w:val="single"/>
        </w:rPr>
        <w:t>原设计或合同承包范围没有而由发包人批准设计变更或增加承包范围产生的新增加项目。招标工程量清单外施工内容按设计变更事项办理。</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9.2 变更估价</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9.2.1 变更估价原则</w:t>
      </w:r>
    </w:p>
    <w:p>
      <w:pPr>
        <w:overflowPunct w:val="0"/>
        <w:topLinePunct/>
        <w:spacing w:line="420" w:lineRule="exact"/>
        <w:ind w:firstLine="480" w:firstLineChars="200"/>
        <w:jc w:val="left"/>
        <w:rPr>
          <w:rFonts w:ascii="宋体" w:hAnsi="宋体" w:cs="仿宋_GB2312"/>
          <w:sz w:val="24"/>
          <w:u w:val="single"/>
        </w:rPr>
      </w:pPr>
      <w:r>
        <w:rPr>
          <w:rFonts w:hint="eastAsia" w:ascii="宋体" w:hAnsi="宋体" w:cs="仿宋_GB2312"/>
          <w:sz w:val="24"/>
          <w:u w:val="single"/>
        </w:rPr>
        <w:t>（1）中标报价中有与变更工程相同项目的单价，按相同项目单价。</w:t>
      </w:r>
    </w:p>
    <w:p>
      <w:pPr>
        <w:overflowPunct w:val="0"/>
        <w:topLinePunct/>
        <w:spacing w:line="420" w:lineRule="exact"/>
        <w:ind w:firstLine="480" w:firstLineChars="200"/>
        <w:jc w:val="left"/>
        <w:rPr>
          <w:rFonts w:ascii="宋体" w:hAnsi="宋体" w:cs="仿宋_GB2312"/>
          <w:sz w:val="24"/>
          <w:u w:val="single"/>
        </w:rPr>
      </w:pPr>
      <w:r>
        <w:rPr>
          <w:rFonts w:hint="eastAsia" w:ascii="宋体" w:hAnsi="宋体" w:cs="仿宋_GB2312"/>
          <w:sz w:val="24"/>
          <w:u w:val="single"/>
        </w:rPr>
        <w:t>（2）中标的投标文件工程量清单中已有类似项目的综合单价，则按类似项目的综合单价。</w:t>
      </w:r>
    </w:p>
    <w:p>
      <w:pPr>
        <w:overflowPunct w:val="0"/>
        <w:topLinePunct/>
        <w:spacing w:line="420" w:lineRule="exact"/>
        <w:ind w:firstLine="480" w:firstLineChars="200"/>
        <w:jc w:val="left"/>
        <w:rPr>
          <w:rFonts w:ascii="宋体" w:hAnsi="宋体" w:cs="仿宋_GB2312"/>
          <w:sz w:val="24"/>
          <w:u w:val="single"/>
        </w:rPr>
      </w:pPr>
      <w:r>
        <w:rPr>
          <w:rFonts w:hint="eastAsia" w:ascii="宋体" w:hAnsi="宋体" w:cs="仿宋_GB2312"/>
          <w:sz w:val="24"/>
          <w:u w:val="single"/>
        </w:rPr>
        <w:t>（3）中标的投标文件工程量清单中相同或类似项目的综合单价有两个以上，则由招标人选择相同或类似项目中价格最低的综合单价。</w:t>
      </w:r>
    </w:p>
    <w:p>
      <w:pPr>
        <w:overflowPunct w:val="0"/>
        <w:topLinePunct/>
        <w:spacing w:line="360" w:lineRule="auto"/>
        <w:ind w:firstLine="480" w:firstLineChars="200"/>
        <w:rPr>
          <w:rFonts w:ascii="新宋体" w:hAnsi="新宋体" w:eastAsia="新宋体" w:cs="仿宋_GB2312"/>
          <w:sz w:val="24"/>
          <w:u w:val="single"/>
        </w:rPr>
      </w:pPr>
      <w:r>
        <w:rPr>
          <w:rFonts w:hint="eastAsia" w:ascii="宋体" w:hAnsi="宋体" w:cs="仿宋_GB2312"/>
          <w:sz w:val="24"/>
          <w:u w:val="single"/>
        </w:rPr>
        <w:t>（4）中标报价中没有相同项目或类似项目的，可根据相关定额及投标下浮率，编制新的综合单价（详见</w:t>
      </w:r>
      <w:r>
        <w:rPr>
          <w:rFonts w:hint="eastAsia" w:ascii="新宋体" w:hAnsi="新宋体" w:eastAsia="新宋体" w:cs="仿宋_GB2312"/>
          <w:sz w:val="24"/>
          <w:u w:val="single"/>
        </w:rPr>
        <w:t>9.2.2 变更估价具体办法</w:t>
      </w:r>
      <w:r>
        <w:rPr>
          <w:rFonts w:hint="eastAsia" w:ascii="宋体" w:hAnsi="宋体" w:cs="仿宋_GB2312"/>
          <w:sz w:val="24"/>
          <w:u w:val="single"/>
        </w:rPr>
        <w:t>），经发包人书面批复后作为变更的依据。</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9.2.2 变更估价具体办法</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1.工程实施过程中发生超出施工图纸、投标文件和工程量清单等施工合同范围和内容以外的情况，而导致变更工程项目时（所有的增减工程，须以发包人确认的变更通知书为准），按下列计价方式处理：</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1）仅改变中标报价中工程量清单子目工程量时，只调整相应子目工程量，单价沿用中标报价的综合单价。包括深化图纸设计只改变了做法、收口工艺、形状等，未改变主材材质、厚度等规格的，仍按中标报价相应项目的综合单价计算。</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（2）工程主材改变时（或发包人另外选择主材时），若超出原主材价±10%时，进行主材价调整，只调整相应工程的主材单价（按价差，计入其他工程费结算），工程量按实计算。</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3）中标报价工程量清单以外变更增加的项目，如果中标报价中没有相同项目或类似项目的综合单价，则按《建设工程工程量清单计价规范》（GB50500--2013），《广东省建设工程计价依据（2018年）》《广东省房屋建筑与装饰工程综合定额（2018）》《广东省市政工程综合定额（2018）》《广东省通用安装工程综合定额（2018）》《广东省园林绿化工程综合定额（2018）》《广东省建设工程施工机具台班费用编制规则（2018）》等工程量清单规范和计价办法，《广东省住房和城乡建设厅关于调整广东省建设工程计价依据增值税税率的通知》（粤建标函〔2019〕819号）（税金按增值税9%，其他人工、材料、机械按增值税方式计），采用清单计价方式计算综合单价（取费标准若有上限下限的，按均值取费），措施项目费和预算包干费不计，只计取税金，即新增综合单价=根据清单计价办法计算综合单价×（1－投标下浮率），投标下浮率=（1－不含绿色施工安全防护措施费和暂列金额两税后价的中标价/不含绿色施工安全防护措施费和暂列金额两项税后价的招标控制价）×100%，本工程下浮率为</w:t>
      </w:r>
      <w:r>
        <w:rPr>
          <w:rFonts w:ascii="新宋体" w:hAnsi="新宋体" w:eastAsia="新宋体" w:cs="仿宋_GB2312"/>
          <w:sz w:val="24"/>
          <w:u w:val="single"/>
        </w:rPr>
        <w:t xml:space="preserve">    </w:t>
      </w:r>
      <w:r>
        <w:rPr>
          <w:rFonts w:hint="eastAsia" w:ascii="新宋体" w:hAnsi="新宋体" w:eastAsia="新宋体" w:cs="仿宋_GB2312"/>
          <w:sz w:val="24"/>
          <w:u w:val="single"/>
        </w:rPr>
        <w:t>%。材料价格计算原则为：中标报价工程量清单或主要材料报价表中已有适用的材料价格，按已有的价格执行；工程量清单或主要材料报价表中有类似的材料价格，可以参照类似价格；若工程量清单或主要材料报价表中没有适用或没有类似的材料价格，按施工期间同期的《广州地区建设工程常用材料税前综合价格》中相应综合价格；若综合价格没有的，参考施工期间同期的《广州地区建设工程材料（设备）厂商价格信息》中相应价格下浮10%执行；如果施工期间同期的《广州地区建设工程常用材料税前综合价格》和《广州地区建设工程材料（设备）厂商价格信息》没有的相应品牌、规格的材料单价，则由承包人向发包人提交材料报价（提供材料厂家、产品规格、检验证书等相关信息），经发包人确认后作为结算价。</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2.对于投标报价中漏项的处理：</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1）招标工程量清单中的单项项目特征描述中，如有未明确具体做法的描述，承包人则应参照相关的规范、规定及图集大样或工程通用做法施工，不属于漏项，且对应的单项造价按规范、规定、图集、通用做法导致造价增减变化的，综合单价按原投标报价结算不再调整，承包人已在投标前充分研究、分析，综合考虑相应的风险。</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2）图纸有但招标工程量清单子目没有的，且在工程施工中会影响到整体使用的或在满足功能上必须要做的，由承包人提出书面报告及报价资料，经发包人核实招标工程量清单及招标图纸后，按项目变更处理。承包人应向发包人提交变更报价，发包人批价后实施。</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3.发包人要求取消的项目或实际未实施的项目，扣减该项目造价。</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4.未经发包人许可，承包人不得擅自对工程的任何部分进行变更；未经发包人许可和审批的变更，产生的费用由承包人自行承担。</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5</w:t>
      </w:r>
      <w:r>
        <w:rPr>
          <w:rFonts w:ascii="新宋体" w:hAnsi="新宋体" w:eastAsia="新宋体" w:cs="仿宋_GB2312"/>
          <w:sz w:val="24"/>
          <w:u w:val="single"/>
        </w:rPr>
        <w:t>.</w:t>
      </w:r>
      <w:r>
        <w:rPr>
          <w:rFonts w:hint="eastAsia" w:ascii="新宋体" w:hAnsi="新宋体" w:eastAsia="新宋体" w:cs="仿宋_GB2312"/>
          <w:sz w:val="24"/>
          <w:u w:val="single"/>
        </w:rPr>
        <w:t xml:space="preserve"> 变更、工程签证或合同内工程量清单少计、漏计等原因造成工程量与报价工程量清单或预算书中列明的该项目工程量变化幅度超过15%的，按照合理的成本与利润构成的原则，变更、工程签证和合同内工程量清单少计、漏计变化幅度超过15%以上工程量的单价按照发包人招标控制价的单价计算，若招标控制价的单价高于中标报价的单价，则按照中标报价的单价计算。</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9.2.3 变更估价审批</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承包人必须在收到工程变更通知或指令后7天内向监理或发包人（若项目无监理）提交变更报价文件；承包人如未能在规定时间内提交报价，则被视为免费提供该项服务。</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9.3 承包人的</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Start w:id="290" w:name="_Toc297120497"/>
      <w:bookmarkStart w:id="291" w:name="_Toc297048383"/>
      <w:bookmarkStart w:id="292" w:name="_Toc296891025"/>
      <w:bookmarkStart w:id="293" w:name="_Toc297216203"/>
      <w:bookmarkStart w:id="294" w:name="_Toc296503197"/>
      <w:bookmarkStart w:id="295" w:name="_Toc296347196"/>
      <w:bookmarkStart w:id="296" w:name="_Toc296346698"/>
      <w:bookmarkStart w:id="297" w:name="_Toc292559402"/>
      <w:bookmarkStart w:id="298" w:name="_Toc297123544"/>
      <w:bookmarkStart w:id="299" w:name="_Toc303539150"/>
      <w:bookmarkStart w:id="300" w:name="_Toc296944536"/>
      <w:bookmarkStart w:id="301" w:name="_Toc300934993"/>
      <w:bookmarkStart w:id="302" w:name="_Toc296891237"/>
      <w:bookmarkStart w:id="303" w:name="_Toc292559907"/>
      <w:bookmarkStart w:id="304" w:name="_Toc312678029"/>
      <w:bookmarkStart w:id="305" w:name="_Toc304295570"/>
      <w:bookmarkStart w:id="306" w:name="_Toc312677503"/>
      <w:r>
        <w:rPr>
          <w:rFonts w:hint="eastAsia" w:ascii="新宋体" w:hAnsi="新宋体" w:eastAsia="新宋体" w:cs="仿宋_GB2312"/>
          <w:sz w:val="24"/>
        </w:rPr>
        <w:t>合理化建</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Start w:id="307" w:name="_Toc297048389"/>
      <w:bookmarkStart w:id="308" w:name="_Toc296891031"/>
      <w:bookmarkStart w:id="309" w:name="_Toc296891243"/>
      <w:bookmarkStart w:id="310" w:name="_Toc296503203"/>
      <w:bookmarkStart w:id="311" w:name="_Toc297216204"/>
      <w:bookmarkStart w:id="312" w:name="_Toc297123545"/>
      <w:bookmarkStart w:id="313" w:name="_Toc303539151"/>
      <w:bookmarkStart w:id="314" w:name="_Toc296346704"/>
      <w:bookmarkStart w:id="315" w:name="_Toc292559913"/>
      <w:bookmarkStart w:id="316" w:name="_Toc300934994"/>
      <w:bookmarkStart w:id="317" w:name="_Toc292559408"/>
      <w:bookmarkStart w:id="318" w:name="_Toc296944542"/>
      <w:bookmarkStart w:id="319" w:name="_Toc297120503"/>
      <w:bookmarkStart w:id="320" w:name="_Toc296347202"/>
      <w:r>
        <w:rPr>
          <w:rFonts w:hint="eastAsia" w:ascii="新宋体" w:hAnsi="新宋体" w:eastAsia="新宋体" w:cs="仿宋_GB2312"/>
          <w:sz w:val="24"/>
        </w:rPr>
        <w:t>议</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发包人审批承包人合理化建议的期限：</w:t>
      </w:r>
      <w:r>
        <w:rPr>
          <w:rFonts w:hint="eastAsia" w:ascii="新宋体" w:hAnsi="新宋体" w:eastAsia="新宋体" w:cs="仿宋_GB2312"/>
          <w:sz w:val="24"/>
          <w:u w:val="single"/>
        </w:rPr>
        <w:t xml:space="preserve"> 三天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承包人提出的合理</w:t>
      </w:r>
      <w:bookmarkStart w:id="321" w:name="_Toc318581175"/>
      <w:bookmarkStart w:id="322" w:name="_Toc312678030"/>
      <w:bookmarkStart w:id="323" w:name="_Toc304295571"/>
      <w:bookmarkStart w:id="324" w:name="_Toc296891032"/>
      <w:bookmarkStart w:id="325" w:name="_Toc296891244"/>
      <w:bookmarkStart w:id="326" w:name="_Toc296346705"/>
      <w:bookmarkStart w:id="327" w:name="_Toc312677504"/>
      <w:bookmarkStart w:id="328" w:name="_Toc297216205"/>
      <w:bookmarkStart w:id="329" w:name="_Toc297048390"/>
      <w:bookmarkStart w:id="330" w:name="_Toc303539152"/>
      <w:bookmarkStart w:id="331" w:name="_Toc297123546"/>
      <w:bookmarkStart w:id="332" w:name="_Toc296347203"/>
      <w:bookmarkStart w:id="333" w:name="_Toc297120504"/>
      <w:bookmarkStart w:id="334" w:name="_Toc296503204"/>
      <w:bookmarkStart w:id="335" w:name="_Toc292559409"/>
      <w:bookmarkStart w:id="336" w:name="_Toc292559914"/>
      <w:bookmarkStart w:id="337" w:name="_Toc300934995"/>
      <w:bookmarkStart w:id="338" w:name="_Toc296944543"/>
      <w:r>
        <w:rPr>
          <w:rFonts w:hint="eastAsia" w:ascii="新宋体" w:hAnsi="新宋体" w:eastAsia="新宋体" w:cs="仿宋_GB2312"/>
          <w:sz w:val="24"/>
        </w:rPr>
        <w:t>化建议降低了合同价格或者提高了工程经济效益的奖励的方法和金额为：</w:t>
      </w:r>
      <w:r>
        <w:rPr>
          <w:rFonts w:hint="eastAsia" w:ascii="新宋体" w:hAnsi="新宋体" w:eastAsia="新宋体" w:cs="仿宋_GB2312"/>
          <w:sz w:val="24"/>
          <w:u w:val="single"/>
        </w:rPr>
        <w:t xml:space="preserve">  无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9.4 工程签证</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工程签证项目参照9.2变更估价约定执行。</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9.5 暂列金额</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合同当事人关于暂列金额使用的约定：</w:t>
      </w:r>
      <w:r>
        <w:rPr>
          <w:rFonts w:hint="eastAsia" w:ascii="新宋体" w:hAnsi="新宋体" w:eastAsia="新宋体" w:cs="仿宋_GB2312"/>
          <w:sz w:val="24"/>
          <w:u w:val="single"/>
        </w:rPr>
        <w:t>暂列金额由发包人掌握使用，结算时应全部扣除工程量清单中所列的暂列金额的金额以及相应的规费、税金等费用。若施工过程中发生工程变更，合同约定调整因素出现时的工程价款调整以及发生的索赔，现场签证确认或者不可预见的所需材料、设备、服务的采购等费用，由发包人从暂列金额的费用中支付。</w:t>
      </w:r>
      <w:r>
        <w:rPr>
          <w:rFonts w:hint="eastAsia" w:ascii="新宋体" w:hAnsi="新宋体" w:eastAsia="新宋体" w:cs="仿宋_GB2312"/>
          <w:sz w:val="24"/>
        </w:rPr>
        <w:t xml:space="preserve"> </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9.6 暂估价格</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9.6.1 依法必须招标的暂估价项目</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对于依法必须招标的暂估价项目的确认和批准的采取</w:t>
      </w:r>
      <w:r>
        <w:rPr>
          <w:rFonts w:hint="eastAsia" w:ascii="新宋体" w:hAnsi="新宋体" w:eastAsia="新宋体" w:cs="仿宋_GB2312"/>
          <w:sz w:val="24"/>
          <w:u w:val="single"/>
        </w:rPr>
        <w:t xml:space="preserve">   /  </w:t>
      </w:r>
      <w:r>
        <w:rPr>
          <w:rFonts w:hint="eastAsia" w:ascii="新宋体" w:hAnsi="新宋体" w:eastAsia="新宋体" w:cs="仿宋_GB2312"/>
          <w:sz w:val="24"/>
        </w:rPr>
        <w:t>方式确定。</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9.6.2 不属于依法必须招标的暂估价项目</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（1）发包人在招标工程量清单中给定暂估价的材料和工程设备不属于依法必须招标的，由承包人按照合同约定采购。经发包人确认的材料和工程设备价格后取代暂估价，调整合同价款。</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（2）发包人在招标工程量清单中给定暂估价的专业工程不属于依法必须招标的，应参照9.2变更估价约定确定专业工程价款。经确认的专业工程价款后取代暂估价，调整合同价款。</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3）若实施过程中未发生招标工程量清单中给定暂估价的材料、工程设备、专业工程，或由发包人取消该项目，则暂估价项目金额归发包人所有，在结算时扣除招标工程量清单中所列的暂估价的金额以及相应的规费、税金等费用。</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9.6.3 承包人直接实施的暂估价项目</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承包人直接实施的暂估价项目的约定：</w:t>
      </w:r>
      <w:r>
        <w:rPr>
          <w:rFonts w:hint="eastAsia" w:ascii="新宋体" w:hAnsi="新宋体" w:eastAsia="新宋体" w:cs="仿宋_GB2312"/>
          <w:sz w:val="24"/>
          <w:u w:val="single"/>
        </w:rPr>
        <w:t xml:space="preserve">   /   </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10. 价格调</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Start w:id="339" w:name="_Toc351203643"/>
      <w:r>
        <w:rPr>
          <w:rFonts w:hint="eastAsia" w:ascii="新宋体" w:hAnsi="新宋体" w:eastAsia="新宋体" w:cs="仿宋_GB2312"/>
          <w:sz w:val="24"/>
        </w:rPr>
        <w:t>整</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10.1 市</w:t>
      </w:r>
      <w:bookmarkEnd w:id="339"/>
      <w:r>
        <w:rPr>
          <w:rFonts w:hint="eastAsia" w:ascii="新宋体" w:hAnsi="新宋体" w:eastAsia="新宋体" w:cs="仿宋_GB2312"/>
          <w:sz w:val="24"/>
        </w:rPr>
        <w:t>场</w:t>
      </w:r>
      <w:bookmarkStart w:id="340" w:name="_Toc292559406"/>
      <w:bookmarkStart w:id="341" w:name="_Toc297216209"/>
      <w:bookmarkStart w:id="342" w:name="_Toc296347200"/>
      <w:bookmarkStart w:id="343" w:name="_Toc296891241"/>
      <w:bookmarkStart w:id="344" w:name="_Toc304295577"/>
      <w:bookmarkStart w:id="345" w:name="_Toc297120501"/>
      <w:bookmarkStart w:id="346" w:name="_Toc300935000"/>
      <w:bookmarkStart w:id="347" w:name="_Toc296346702"/>
      <w:bookmarkStart w:id="348" w:name="_Toc296944540"/>
      <w:bookmarkStart w:id="349" w:name="_Toc303539157"/>
      <w:bookmarkStart w:id="350" w:name="_Toc296503201"/>
      <w:bookmarkStart w:id="351" w:name="_Toc297048387"/>
      <w:bookmarkStart w:id="352" w:name="_Toc292559911"/>
      <w:bookmarkStart w:id="353" w:name="_Toc297123550"/>
      <w:bookmarkStart w:id="354" w:name="_Toc296891029"/>
      <w:bookmarkStart w:id="355" w:name="_Toc312678039"/>
      <w:r>
        <w:rPr>
          <w:rFonts w:hint="eastAsia" w:ascii="新宋体" w:hAnsi="新宋体" w:eastAsia="新宋体" w:cs="仿宋_GB2312"/>
          <w:sz w:val="24"/>
        </w:rPr>
        <w:t>价格波动引起的调整</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kern w:val="0"/>
          <w:sz w:val="24"/>
        </w:rPr>
        <w:t>市场价格波动是</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Fonts w:hint="eastAsia" w:ascii="新宋体" w:hAnsi="新宋体" w:eastAsia="新宋体" w:cs="仿宋_GB2312"/>
          <w:kern w:val="0"/>
          <w:sz w:val="24"/>
        </w:rPr>
        <w:t>否调整合同价格和相应综合单价的约定：</w:t>
      </w:r>
      <w:r>
        <w:rPr>
          <w:rFonts w:hint="eastAsia" w:ascii="新宋体" w:hAnsi="新宋体" w:eastAsia="新宋体" w:cs="仿宋_GB2312"/>
          <w:sz w:val="24"/>
          <w:u w:val="single"/>
        </w:rPr>
        <w:t>不调整（承包人在投标时应综合考虑）</w:t>
      </w:r>
      <w:r>
        <w:rPr>
          <w:rFonts w:hint="eastAsia" w:ascii="新宋体" w:hAnsi="新宋体" w:eastAsia="新宋体" w:cs="仿宋_GB2312"/>
          <w:sz w:val="24"/>
        </w:rPr>
        <w:t>。</w:t>
      </w:r>
    </w:p>
    <w:p>
      <w:pPr>
        <w:pStyle w:val="52"/>
        <w:overflowPunct w:val="0"/>
        <w:topLinePunct/>
        <w:spacing w:beforeLines="0"/>
        <w:ind w:firstLine="480"/>
        <w:rPr>
          <w:rFonts w:cs="仿宋_GB2312"/>
          <w:kern w:val="2"/>
          <w:u w:val="single"/>
        </w:rPr>
      </w:pPr>
      <w:r>
        <w:rPr>
          <w:rFonts w:hint="eastAsia" w:cs="仿宋_GB2312"/>
          <w:kern w:val="2"/>
          <w:u w:val="single"/>
        </w:rPr>
        <w:t>承包人应充分考虑施工期间市场价格波动引起的人工、材料、工程设备等价格上涨因素，并在投标价格中预留价格上涨空间，中标后不再因市场价格波动调整相应综合单价。</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 合同价</w:t>
      </w:r>
      <w:bookmarkEnd w:id="266"/>
      <w:bookmarkEnd w:id="267"/>
      <w:bookmarkEnd w:id="268"/>
      <w:bookmarkEnd w:id="269"/>
      <w:bookmarkEnd w:id="270"/>
      <w:bookmarkEnd w:id="271"/>
      <w:bookmarkStart w:id="356" w:name="_Toc296891033"/>
      <w:bookmarkStart w:id="357" w:name="_Toc296503205"/>
      <w:bookmarkStart w:id="358" w:name="_Toc292559915"/>
      <w:bookmarkStart w:id="359" w:name="_Toc296944544"/>
      <w:bookmarkStart w:id="360" w:name="_Toc292559410"/>
      <w:bookmarkStart w:id="361" w:name="_Toc297120505"/>
      <w:bookmarkStart w:id="362" w:name="_Toc296347204"/>
      <w:bookmarkStart w:id="363" w:name="_Toc296346706"/>
      <w:bookmarkStart w:id="364" w:name="_Toc297048391"/>
      <w:bookmarkStart w:id="365" w:name="_Toc296891245"/>
      <w:bookmarkStart w:id="366" w:name="_Toc351203644"/>
      <w:bookmarkStart w:id="367" w:name="_Toc312678040"/>
      <w:bookmarkStart w:id="368" w:name="_Toc297123552"/>
      <w:bookmarkStart w:id="369" w:name="_Toc300935002"/>
      <w:bookmarkStart w:id="370" w:name="_Toc303539159"/>
      <w:bookmarkStart w:id="371" w:name="_Toc297216211"/>
      <w:bookmarkStart w:id="372" w:name="_Toc304295579"/>
      <w:r>
        <w:rPr>
          <w:rFonts w:hint="eastAsia" w:ascii="新宋体" w:hAnsi="新宋体" w:eastAsia="新宋体" w:cs="仿宋_GB2312"/>
          <w:sz w:val="24"/>
        </w:rPr>
        <w:t>格、计量</w:t>
      </w:r>
      <w:bookmarkEnd w:id="356"/>
      <w:bookmarkEnd w:id="357"/>
      <w:bookmarkEnd w:id="358"/>
      <w:bookmarkEnd w:id="359"/>
      <w:bookmarkEnd w:id="360"/>
      <w:bookmarkEnd w:id="361"/>
      <w:bookmarkEnd w:id="362"/>
      <w:bookmarkEnd w:id="363"/>
      <w:bookmarkEnd w:id="364"/>
      <w:bookmarkEnd w:id="365"/>
      <w:r>
        <w:rPr>
          <w:rFonts w:hint="eastAsia" w:ascii="新宋体" w:hAnsi="新宋体" w:eastAsia="新宋体" w:cs="仿宋_GB2312"/>
          <w:sz w:val="24"/>
        </w:rPr>
        <w:t>与支付</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11.1 预</w:t>
      </w:r>
      <w:bookmarkEnd w:id="366"/>
      <w:r>
        <w:rPr>
          <w:rFonts w:hint="eastAsia" w:ascii="新宋体" w:hAnsi="新宋体" w:eastAsia="新宋体" w:cs="仿宋_GB2312"/>
          <w:sz w:val="24"/>
        </w:rPr>
        <w:t>付</w:t>
      </w:r>
      <w:bookmarkEnd w:id="367"/>
      <w:bookmarkEnd w:id="368"/>
      <w:bookmarkEnd w:id="369"/>
      <w:bookmarkEnd w:id="370"/>
      <w:bookmarkEnd w:id="371"/>
      <w:bookmarkEnd w:id="372"/>
      <w:bookmarkStart w:id="373" w:name="_Toc312678042"/>
      <w:bookmarkStart w:id="374" w:name="_Toc300935004"/>
      <w:bookmarkStart w:id="375" w:name="_Toc304295581"/>
      <w:bookmarkStart w:id="376" w:name="_Toc297123554"/>
      <w:bookmarkStart w:id="377" w:name="_Toc297216213"/>
      <w:bookmarkStart w:id="378" w:name="_Toc303539161"/>
      <w:bookmarkStart w:id="379" w:name="_Toc292559917"/>
      <w:bookmarkStart w:id="380" w:name="_Toc296347206"/>
      <w:bookmarkStart w:id="381" w:name="_Toc297048393"/>
      <w:bookmarkStart w:id="382" w:name="_Toc297120507"/>
      <w:bookmarkStart w:id="383" w:name="_Toc296891035"/>
      <w:bookmarkStart w:id="384" w:name="_Toc292559412"/>
      <w:bookmarkStart w:id="385" w:name="_Toc296944546"/>
      <w:bookmarkStart w:id="386" w:name="_Toc296503207"/>
      <w:bookmarkStart w:id="387" w:name="_Toc296891247"/>
      <w:bookmarkStart w:id="388" w:name="_Toc296346708"/>
      <w:r>
        <w:rPr>
          <w:rFonts w:hint="eastAsia" w:ascii="新宋体" w:hAnsi="新宋体" w:eastAsia="新宋体" w:cs="仿宋_GB2312"/>
          <w:sz w:val="24"/>
        </w:rPr>
        <w:t>款</w:t>
      </w:r>
    </w:p>
    <w:p>
      <w:pPr>
        <w:overflowPunct w:val="0"/>
        <w:topLinePunct/>
        <w:spacing w:line="360" w:lineRule="auto"/>
        <w:ind w:firstLine="482" w:firstLineChars="200"/>
        <w:rPr>
          <w:rFonts w:ascii="新宋体" w:hAnsi="新宋体" w:eastAsia="新宋体" w:cs="仿宋_GB2312"/>
          <w:b/>
          <w:sz w:val="24"/>
        </w:rPr>
      </w:pPr>
      <w:r>
        <w:rPr>
          <w:rFonts w:hint="eastAsia" w:ascii="新宋体" w:hAnsi="新宋体" w:eastAsia="新宋体" w:cs="仿宋_GB2312"/>
          <w:b/>
          <w:sz w:val="24"/>
        </w:rPr>
        <w:t xml:space="preserve">11.1.1 </w:t>
      </w:r>
      <w:bookmarkEnd w:id="373"/>
      <w:bookmarkEnd w:id="374"/>
      <w:bookmarkEnd w:id="375"/>
      <w:bookmarkEnd w:id="376"/>
      <w:bookmarkEnd w:id="377"/>
      <w:bookmarkEnd w:id="378"/>
      <w:r>
        <w:rPr>
          <w:rFonts w:hint="eastAsia" w:ascii="新宋体" w:hAnsi="新宋体" w:eastAsia="新宋体" w:cs="仿宋_GB2312"/>
          <w:b/>
          <w:sz w:val="24"/>
        </w:rPr>
        <w:t>预付款的支付</w:t>
      </w:r>
    </w:p>
    <w:p>
      <w:pPr>
        <w:overflowPunct w:val="0"/>
        <w:topLinePunct/>
        <w:spacing w:line="360" w:lineRule="auto"/>
        <w:ind w:firstLine="482" w:firstLineChars="200"/>
        <w:rPr>
          <w:rFonts w:ascii="新宋体" w:hAnsi="新宋体" w:eastAsia="新宋体" w:cs="仿宋_GB2312"/>
          <w:sz w:val="24"/>
          <w:u w:val="single"/>
        </w:rPr>
      </w:pPr>
      <w:r>
        <w:rPr>
          <w:rFonts w:hint="eastAsia" w:ascii="新宋体" w:hAnsi="新宋体" w:eastAsia="新宋体" w:cs="仿宋_GB2312"/>
          <w:b/>
          <w:sz w:val="24"/>
        </w:rPr>
        <w:t>预付款支付比例或金额：</w:t>
      </w:r>
      <w:r>
        <w:rPr>
          <w:rFonts w:hint="eastAsia" w:ascii="新宋体" w:hAnsi="新宋体" w:eastAsia="新宋体" w:cs="仿宋_GB2312"/>
          <w:sz w:val="24"/>
          <w:u w:val="single"/>
        </w:rPr>
        <w:t>甲乙双方签订合同并施工人员进场后，发包人按合同约定拨付工程款合同总价（不含暂列金额和绿色施工安全防护措施费）的30%的工程预付备料款（预付款）；同时按规定支付绿色施工安全防护措施费的50%。</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预付款=（合同总价－暂列金额－绿色施工安全防护措施费）×30%+50%绿色施工安全防护措施费</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预付款支付期限：</w:t>
      </w:r>
      <w:r>
        <w:rPr>
          <w:rFonts w:hint="eastAsia" w:ascii="新宋体" w:hAnsi="新宋体" w:eastAsia="新宋体" w:cs="仿宋_GB2312"/>
          <w:sz w:val="24"/>
          <w:u w:val="single"/>
        </w:rPr>
        <w:t xml:space="preserve">双方签订合同后，承包人缴纳履约保证金，提交具有发包人审核确认的请款报告及正规专用发票等资料后10日内支付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11.2 计量</w:t>
      </w:r>
      <w:bookmarkEnd w:id="379"/>
      <w:bookmarkEnd w:id="380"/>
      <w:bookmarkEnd w:id="381"/>
      <w:bookmarkEnd w:id="382"/>
      <w:bookmarkEnd w:id="383"/>
      <w:bookmarkEnd w:id="384"/>
      <w:bookmarkEnd w:id="385"/>
      <w:bookmarkEnd w:id="386"/>
      <w:bookmarkEnd w:id="387"/>
      <w:bookmarkEnd w:id="388"/>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11.2.1 计量原则</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工程量计算规则：</w:t>
      </w:r>
      <w:r>
        <w:rPr>
          <w:rFonts w:hint="eastAsia" w:ascii="新宋体" w:hAnsi="新宋体" w:eastAsia="新宋体" w:cs="仿宋_GB2312"/>
          <w:sz w:val="24"/>
          <w:u w:val="single"/>
        </w:rPr>
        <w:t xml:space="preserve"> 承包人按实际完成的工程量提交相应的报表，经发包人现场代表核实并签署意见作为进度款支付的依据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11.2.2 计量周期</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关于计量周期的约定：</w:t>
      </w:r>
      <w:r>
        <w:rPr>
          <w:rFonts w:hint="eastAsia" w:ascii="新宋体" w:hAnsi="新宋体" w:eastAsia="新宋体" w:cs="仿宋_GB2312"/>
          <w:sz w:val="24"/>
          <w:u w:val="single"/>
        </w:rPr>
        <w:t xml:space="preserve">  按工程款项支付约定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11.2.3单价合同的计量</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关于单价合同计量的约定：</w:t>
      </w:r>
      <w:r>
        <w:rPr>
          <w:rFonts w:hint="eastAsia" w:ascii="新宋体" w:hAnsi="新宋体" w:eastAsia="新宋体" w:cs="仿宋_GB2312"/>
          <w:sz w:val="24"/>
          <w:u w:val="single"/>
        </w:rPr>
        <w:t xml:space="preserve">  综合单价不变，工程量按实计算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11.2.4 总价合同的计量</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关于总价合同计量的约定：</w:t>
      </w:r>
      <w:r>
        <w:rPr>
          <w:rFonts w:hint="eastAsia" w:ascii="新宋体" w:hAnsi="新宋体" w:eastAsia="新宋体" w:cs="仿宋_GB2312"/>
          <w:sz w:val="24"/>
          <w:u w:val="single"/>
        </w:rPr>
        <w:t xml:space="preserve">    /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11.2.5总价合同采用支付分解表计量支付的，是否适用第</w:t>
      </w:r>
      <w:r>
        <w:rPr>
          <w:rFonts w:hint="eastAsia" w:ascii="新宋体" w:hAnsi="新宋体" w:eastAsia="新宋体" w:cs="仿宋_GB2312"/>
          <w:kern w:val="0"/>
          <w:sz w:val="24"/>
        </w:rPr>
        <w:t xml:space="preserve">11.2.4 </w:t>
      </w:r>
      <w:r>
        <w:rPr>
          <w:rFonts w:hint="eastAsia" w:ascii="新宋体" w:hAnsi="新宋体" w:eastAsia="新宋体" w:cs="仿宋_GB2312"/>
          <w:sz w:val="24"/>
        </w:rPr>
        <w:t>项</w:t>
      </w:r>
      <w:r>
        <w:rPr>
          <w:rFonts w:hint="eastAsia" w:ascii="新宋体" w:hAnsi="新宋体" w:eastAsia="新宋体" w:cs="仿宋_GB2312"/>
          <w:kern w:val="0"/>
          <w:sz w:val="24"/>
        </w:rPr>
        <w:t>〔总价合同的计量〕</w:t>
      </w:r>
      <w:r>
        <w:rPr>
          <w:rFonts w:hint="eastAsia" w:ascii="新宋体" w:hAnsi="新宋体" w:eastAsia="新宋体" w:cs="仿宋_GB2312"/>
          <w:sz w:val="24"/>
        </w:rPr>
        <w:t>约定进行计量：</w:t>
      </w:r>
      <w:r>
        <w:rPr>
          <w:rFonts w:hint="eastAsia" w:ascii="新宋体" w:hAnsi="新宋体" w:eastAsia="新宋体" w:cs="仿宋_GB2312"/>
          <w:sz w:val="24"/>
          <w:u w:val="single"/>
        </w:rPr>
        <w:t xml:space="preserve">    /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11.2.6 其他价格形式合同的计量</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其他价格形式的计量方式和程序：</w:t>
      </w:r>
      <w:r>
        <w:rPr>
          <w:rFonts w:hint="eastAsia" w:ascii="新宋体" w:hAnsi="新宋体" w:eastAsia="新宋体" w:cs="仿宋_GB2312"/>
          <w:sz w:val="24"/>
          <w:u w:val="single"/>
        </w:rPr>
        <w:t xml:space="preserve">   /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11.3 工程进度款支付</w:t>
      </w:r>
    </w:p>
    <w:p>
      <w:pPr>
        <w:overflowPunct w:val="0"/>
        <w:topLinePunct/>
        <w:spacing w:line="360" w:lineRule="auto"/>
        <w:ind w:firstLine="482" w:firstLineChars="200"/>
        <w:rPr>
          <w:rFonts w:ascii="新宋体" w:hAnsi="新宋体" w:eastAsia="新宋体" w:cs="仿宋_GB2312"/>
          <w:b/>
          <w:sz w:val="24"/>
        </w:rPr>
      </w:pPr>
      <w:bookmarkStart w:id="389" w:name="_Toc296891251"/>
      <w:bookmarkStart w:id="390" w:name="_Toc292559921"/>
      <w:bookmarkStart w:id="391" w:name="_Toc296503211"/>
      <w:bookmarkStart w:id="392" w:name="_Toc297216215"/>
      <w:bookmarkStart w:id="393" w:name="_Toc296891039"/>
      <w:bookmarkStart w:id="394" w:name="_Toc303539163"/>
      <w:bookmarkStart w:id="395" w:name="_Toc292559416"/>
      <w:bookmarkStart w:id="396" w:name="_Toc297048397"/>
      <w:bookmarkStart w:id="397" w:name="_Toc296944550"/>
      <w:bookmarkStart w:id="398" w:name="_Toc297123556"/>
      <w:bookmarkStart w:id="399" w:name="_Toc296346712"/>
      <w:bookmarkStart w:id="400" w:name="_Toc300935006"/>
      <w:bookmarkStart w:id="401" w:name="_Toc297120511"/>
      <w:bookmarkStart w:id="402" w:name="_Toc296347210"/>
      <w:r>
        <w:rPr>
          <w:rFonts w:hint="eastAsia" w:ascii="新宋体" w:hAnsi="新宋体" w:eastAsia="新宋体" w:cs="仿宋_GB2312"/>
          <w:b/>
          <w:sz w:val="24"/>
        </w:rPr>
        <w:t>11.3.1付款周期</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关于付款周期的约定：</w:t>
      </w:r>
    </w:p>
    <w:p>
      <w:pPr>
        <w:overflowPunct w:val="0"/>
        <w:topLinePunct/>
        <w:spacing w:line="360" w:lineRule="auto"/>
        <w:ind w:firstLine="482" w:firstLineChars="200"/>
        <w:rPr>
          <w:rFonts w:ascii="新宋体" w:hAnsi="新宋体" w:eastAsia="新宋体" w:cs="仿宋_GB2312"/>
          <w:sz w:val="24"/>
        </w:rPr>
      </w:pPr>
      <w:r>
        <w:rPr>
          <w:rFonts w:hint="eastAsia" w:ascii="新宋体" w:hAnsi="新宋体" w:eastAsia="新宋体" w:cs="仿宋_GB2312"/>
          <w:b/>
          <w:bCs/>
          <w:sz w:val="24"/>
        </w:rPr>
        <w:t>工程进度款：</w:t>
      </w:r>
      <w:r>
        <w:rPr>
          <w:rFonts w:hint="eastAsia" w:ascii="新宋体" w:hAnsi="新宋体" w:eastAsia="新宋体" w:cs="仿宋_GB2312"/>
          <w:sz w:val="24"/>
          <w:u w:val="single"/>
        </w:rPr>
        <w:t>工程进度至50%时，承包人提交发包人审批确认的请款报告和实际完成的工程进度报表，累计支付至拨付工程款合同价（不含暂列金额和绿色施工安全防护措施费）的60%（包含30％工程预付款）。</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工程进度款=（合同总价－暂列金额－绿色施工安全防护措施费）×30%；</w:t>
      </w:r>
    </w:p>
    <w:p>
      <w:pPr>
        <w:overflowPunct w:val="0"/>
        <w:topLinePunct/>
        <w:spacing w:line="360" w:lineRule="auto"/>
        <w:ind w:firstLine="482" w:firstLineChars="200"/>
        <w:rPr>
          <w:rFonts w:ascii="新宋体" w:hAnsi="新宋体" w:eastAsia="新宋体" w:cs="仿宋_GB2312"/>
          <w:sz w:val="24"/>
          <w:u w:val="single"/>
        </w:rPr>
      </w:pPr>
      <w:r>
        <w:rPr>
          <w:rFonts w:hint="eastAsia" w:ascii="新宋体" w:hAnsi="新宋体" w:eastAsia="新宋体" w:cs="仿宋_GB2312"/>
          <w:b/>
          <w:bCs/>
          <w:sz w:val="24"/>
        </w:rPr>
        <w:t>工程竣工款：</w:t>
      </w:r>
      <w:r>
        <w:rPr>
          <w:rFonts w:hint="eastAsia" w:ascii="新宋体" w:hAnsi="新宋体" w:eastAsia="新宋体" w:cs="仿宋_GB2312"/>
          <w:sz w:val="24"/>
          <w:u w:val="single"/>
        </w:rPr>
        <w:t>工程通过竣工验收，承包人提交</w:t>
      </w:r>
      <w:r>
        <w:rPr>
          <w:rFonts w:hint="eastAsia" w:ascii="宋体" w:hAnsi="宋体" w:cs="Arial"/>
          <w:sz w:val="24"/>
          <w:u w:val="single"/>
        </w:rPr>
        <w:t>竣工资料（包括签证变更资料）</w:t>
      </w:r>
      <w:r>
        <w:rPr>
          <w:rFonts w:hint="eastAsia" w:ascii="新宋体" w:hAnsi="新宋体" w:eastAsia="新宋体" w:cs="仿宋_GB2312"/>
          <w:sz w:val="24"/>
          <w:u w:val="single"/>
        </w:rPr>
        <w:t>一式三份后给发包人审核确认后，累计支付至工程款合同价（不含暂列金额、绿色施工安全防护措施费）的</w:t>
      </w:r>
      <w:r>
        <w:rPr>
          <w:rFonts w:hint="eastAsia" w:ascii="新宋体" w:hAnsi="新宋体" w:eastAsia="新宋体" w:cs="仿宋_GB2312"/>
          <w:sz w:val="24"/>
          <w:u w:val="single"/>
          <w:lang w:val="en-US" w:eastAsia="zh-CN"/>
        </w:rPr>
        <w:t>75</w:t>
      </w:r>
      <w:r>
        <w:rPr>
          <w:rFonts w:hint="eastAsia" w:ascii="新宋体" w:hAnsi="新宋体" w:eastAsia="新宋体" w:cs="仿宋_GB2312"/>
          <w:sz w:val="24"/>
          <w:u w:val="single"/>
        </w:rPr>
        <w:t>%；同时按规定支付绿色施工安全防护措施费的50%。</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工程竣工款=（合同总价－暂列金额－绿色施工安全防护措施费）×25%+50%绿色施工安全防护措施费</w:t>
      </w:r>
    </w:p>
    <w:p>
      <w:pPr>
        <w:overflowPunct w:val="0"/>
        <w:topLinePunct/>
        <w:spacing w:line="360" w:lineRule="auto"/>
        <w:ind w:firstLine="482" w:firstLineChars="200"/>
        <w:rPr>
          <w:rFonts w:ascii="新宋体" w:hAnsi="新宋体" w:eastAsia="新宋体" w:cs="仿宋_GB2312"/>
          <w:sz w:val="24"/>
        </w:rPr>
      </w:pPr>
      <w:r>
        <w:rPr>
          <w:rFonts w:hint="eastAsia" w:ascii="新宋体" w:hAnsi="新宋体" w:eastAsia="新宋体" w:cs="仿宋_GB2312"/>
          <w:b/>
          <w:bCs/>
          <w:sz w:val="24"/>
        </w:rPr>
        <w:t>工程结算款：</w:t>
      </w:r>
      <w:r>
        <w:rPr>
          <w:rFonts w:hint="eastAsia" w:ascii="新宋体" w:hAnsi="新宋体" w:eastAsia="新宋体" w:cs="仿宋_GB2312"/>
          <w:sz w:val="24"/>
          <w:u w:val="single"/>
        </w:rPr>
        <w:t>工程竣工及结算资料经终审审定工程结算价，并协助整理工程档案资料移交发包人校档案馆后，累计支付至工程结算总价的97%；结算余款3%作为本工程的保修金。</w:t>
      </w:r>
    </w:p>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12. 验收和</w:t>
      </w:r>
      <w:bookmarkEnd w:id="272"/>
      <w:bookmarkStart w:id="403" w:name="_Toc351203645"/>
      <w:bookmarkStart w:id="404" w:name="_Toc296891259"/>
      <w:bookmarkStart w:id="405" w:name="_Toc304295593"/>
      <w:bookmarkStart w:id="406" w:name="_Toc303539172"/>
      <w:bookmarkStart w:id="407" w:name="_Toc292559929"/>
      <w:bookmarkStart w:id="408" w:name="_Toc296503219"/>
      <w:bookmarkStart w:id="409" w:name="_Toc297123564"/>
      <w:bookmarkStart w:id="410" w:name="_Toc292559424"/>
      <w:bookmarkStart w:id="411" w:name="_Toc312678053"/>
      <w:bookmarkStart w:id="412" w:name="_Toc296346720"/>
      <w:bookmarkStart w:id="413" w:name="_Toc297120519"/>
      <w:bookmarkStart w:id="414" w:name="_Toc296944558"/>
      <w:bookmarkStart w:id="415" w:name="_Toc296891047"/>
      <w:bookmarkStart w:id="416" w:name="_Toc300935015"/>
      <w:bookmarkStart w:id="417" w:name="_Toc297216223"/>
      <w:bookmarkStart w:id="418" w:name="_Toc296347218"/>
      <w:bookmarkStart w:id="419" w:name="_Toc297048405"/>
      <w:r>
        <w:rPr>
          <w:rFonts w:hint="eastAsia" w:ascii="新宋体" w:hAnsi="新宋体" w:eastAsia="新宋体" w:cs="仿宋_GB2312"/>
          <w:sz w:val="24"/>
        </w:rPr>
        <w:t>工程试车</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12.1 竣</w:t>
      </w:r>
      <w:bookmarkEnd w:id="403"/>
      <w:r>
        <w:rPr>
          <w:rFonts w:hint="eastAsia" w:ascii="新宋体" w:hAnsi="新宋体" w:eastAsia="新宋体" w:cs="仿宋_GB2312"/>
          <w:sz w:val="24"/>
        </w:rPr>
        <w:t>工</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Start w:id="420" w:name="_Toc300935016"/>
      <w:bookmarkStart w:id="421" w:name="_Toc297120523"/>
      <w:bookmarkStart w:id="422" w:name="_Toc296347222"/>
      <w:bookmarkStart w:id="423" w:name="_Toc303539173"/>
      <w:bookmarkStart w:id="424" w:name="_Toc296346724"/>
      <w:bookmarkStart w:id="425" w:name="_Toc312678056"/>
      <w:bookmarkStart w:id="426" w:name="_Toc297048409"/>
      <w:bookmarkStart w:id="427" w:name="_Toc296944562"/>
      <w:bookmarkStart w:id="428" w:name="_Toc296891263"/>
      <w:bookmarkStart w:id="429" w:name="_Toc297216224"/>
      <w:bookmarkStart w:id="430" w:name="_Toc292559428"/>
      <w:bookmarkStart w:id="431" w:name="_Toc304295596"/>
      <w:bookmarkStart w:id="432" w:name="_Toc296503223"/>
      <w:bookmarkStart w:id="433" w:name="_Toc297123565"/>
      <w:bookmarkStart w:id="434" w:name="_Toc296891051"/>
      <w:bookmarkStart w:id="435" w:name="_Toc292559933"/>
      <w:bookmarkStart w:id="436" w:name="_Toc267251475"/>
      <w:bookmarkStart w:id="437" w:name="_Toc267251471"/>
      <w:bookmarkStart w:id="438" w:name="_Toc267251470"/>
      <w:bookmarkStart w:id="439" w:name="_Toc267251476"/>
      <w:bookmarkStart w:id="440" w:name="_Toc267251472"/>
      <w:bookmarkStart w:id="441" w:name="_Toc267251473"/>
      <w:bookmarkStart w:id="442" w:name="_Toc267251474"/>
      <w:r>
        <w:rPr>
          <w:rFonts w:hint="eastAsia" w:ascii="新宋体" w:hAnsi="新宋体" w:eastAsia="新宋体" w:cs="仿宋_GB2312"/>
          <w:sz w:val="24"/>
        </w:rPr>
        <w:t>验收</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12.1.1竣</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Start w:id="443" w:name="_Toc280868704"/>
      <w:bookmarkStart w:id="444" w:name="_Toc280868705"/>
      <w:bookmarkStart w:id="445" w:name="_Toc280868706"/>
      <w:bookmarkStart w:id="446" w:name="_Toc280868707"/>
      <w:bookmarkStart w:id="447" w:name="_Toc280868708"/>
      <w:bookmarkStart w:id="448" w:name="_Toc280868709"/>
      <w:r>
        <w:rPr>
          <w:rFonts w:hint="eastAsia" w:ascii="新宋体" w:hAnsi="新宋体" w:eastAsia="新宋体" w:cs="仿宋_GB2312"/>
          <w:sz w:val="24"/>
        </w:rPr>
        <w:t>工验收程序</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kern w:val="0"/>
          <w:sz w:val="24"/>
        </w:rPr>
        <w:t>关于竣工验收程</w:t>
      </w:r>
      <w:bookmarkEnd w:id="443"/>
      <w:r>
        <w:rPr>
          <w:rFonts w:hint="eastAsia" w:ascii="新宋体" w:hAnsi="新宋体" w:eastAsia="新宋体" w:cs="仿宋_GB2312"/>
          <w:kern w:val="0"/>
          <w:sz w:val="24"/>
        </w:rPr>
        <w:t>序的约定：</w:t>
      </w:r>
      <w:r>
        <w:rPr>
          <w:rFonts w:hint="eastAsia" w:ascii="新宋体" w:hAnsi="新宋体" w:eastAsia="新宋体" w:cs="仿宋_GB2312"/>
          <w:sz w:val="24"/>
          <w:u w:val="single"/>
        </w:rPr>
        <w:t xml:space="preserve">承包人将工程完整的竣工资料按《广东外语外贸大学修缮类工程竣工资料编制指引》编制一式三份提交给发包人，发包人审核无问题后同意办理验收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12.1.2移</w:t>
      </w:r>
      <w:bookmarkEnd w:id="444"/>
      <w:r>
        <w:rPr>
          <w:rFonts w:hint="eastAsia" w:ascii="新宋体" w:hAnsi="新宋体" w:eastAsia="新宋体" w:cs="仿宋_GB2312"/>
          <w:sz w:val="24"/>
        </w:rPr>
        <w:t>交、接收全部与部分工程</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承包人向发包人</w:t>
      </w:r>
      <w:bookmarkEnd w:id="445"/>
      <w:r>
        <w:rPr>
          <w:rFonts w:hint="eastAsia" w:ascii="新宋体" w:hAnsi="新宋体" w:eastAsia="新宋体" w:cs="仿宋_GB2312"/>
          <w:kern w:val="0"/>
          <w:sz w:val="24"/>
        </w:rPr>
        <w:t>移交工程的期限：</w:t>
      </w:r>
      <w:r>
        <w:rPr>
          <w:rFonts w:hint="eastAsia" w:ascii="新宋体" w:hAnsi="新宋体" w:eastAsia="新宋体" w:cs="仿宋_GB2312"/>
          <w:sz w:val="24"/>
        </w:rPr>
        <w:t>按发包人要求。</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承包人未按时移</w:t>
      </w:r>
      <w:bookmarkEnd w:id="446"/>
      <w:r>
        <w:rPr>
          <w:rFonts w:hint="eastAsia" w:ascii="新宋体" w:hAnsi="新宋体" w:eastAsia="新宋体" w:cs="仿宋_GB2312"/>
          <w:sz w:val="24"/>
        </w:rPr>
        <w:t>交工程的，违约金的计算方法为：按本合同第三部分专用合同条款7.4 工期延误相关约定执行。</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12.2 竣工</w:t>
      </w:r>
      <w:bookmarkEnd w:id="447"/>
      <w:r>
        <w:rPr>
          <w:rFonts w:hint="eastAsia" w:ascii="新宋体" w:hAnsi="新宋体" w:eastAsia="新宋体" w:cs="仿宋_GB2312"/>
          <w:sz w:val="24"/>
        </w:rPr>
        <w:t>退场</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12.2.1竣工退场</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承包人完成竣工退场的期限：</w:t>
      </w:r>
      <w:r>
        <w:rPr>
          <w:rFonts w:hint="eastAsia" w:ascii="新宋体" w:hAnsi="新宋体" w:eastAsia="新宋体" w:cs="仿宋_GB2312"/>
          <w:sz w:val="24"/>
          <w:u w:val="single"/>
        </w:rPr>
        <w:t xml:space="preserve"> 按发包人的要求执行  </w:t>
      </w:r>
      <w:r>
        <w:rPr>
          <w:rFonts w:hint="eastAsia" w:ascii="新宋体" w:hAnsi="新宋体" w:eastAsia="新宋体" w:cs="仿宋_GB2312"/>
          <w:kern w:val="0"/>
          <w:sz w:val="24"/>
        </w:rPr>
        <w:t>。</w:t>
      </w:r>
    </w:p>
    <w:p>
      <w:pPr>
        <w:overflowPunct w:val="0"/>
        <w:topLinePunct/>
        <w:spacing w:line="360" w:lineRule="auto"/>
        <w:ind w:firstLine="482" w:firstLineChars="200"/>
        <w:rPr>
          <w:rFonts w:ascii="新宋体" w:hAnsi="新宋体" w:eastAsia="新宋体" w:cs="仿宋_GB2312"/>
          <w:b/>
          <w:bCs/>
          <w:sz w:val="24"/>
        </w:rPr>
      </w:pPr>
      <w:r>
        <w:rPr>
          <w:rFonts w:hint="eastAsia" w:ascii="新宋体" w:hAnsi="新宋体" w:eastAsia="新宋体" w:cs="仿宋_GB2312"/>
          <w:b/>
          <w:bCs/>
          <w:sz w:val="24"/>
        </w:rPr>
        <w:t>13. 竣工结</w:t>
      </w:r>
      <w:bookmarkStart w:id="449" w:name="_Toc351203646"/>
      <w:r>
        <w:rPr>
          <w:rFonts w:hint="eastAsia" w:ascii="新宋体" w:hAnsi="新宋体" w:eastAsia="新宋体" w:cs="仿宋_GB2312"/>
          <w:b/>
          <w:bCs/>
          <w:sz w:val="24"/>
        </w:rPr>
        <w:t>算</w:t>
      </w:r>
    </w:p>
    <w:p>
      <w:pPr>
        <w:overflowPunct w:val="0"/>
        <w:topLinePunct/>
        <w:spacing w:line="360" w:lineRule="auto"/>
        <w:ind w:firstLine="482" w:firstLineChars="200"/>
        <w:rPr>
          <w:rFonts w:ascii="新宋体" w:hAnsi="新宋体" w:eastAsia="新宋体" w:cs="仿宋_GB2312"/>
          <w:b/>
          <w:bCs/>
          <w:sz w:val="24"/>
        </w:rPr>
      </w:pPr>
      <w:r>
        <w:rPr>
          <w:rFonts w:hint="eastAsia" w:ascii="新宋体" w:hAnsi="新宋体" w:eastAsia="新宋体" w:cs="仿宋_GB2312"/>
          <w:b/>
          <w:bCs/>
          <w:sz w:val="24"/>
        </w:rPr>
        <w:t>13.1 竣</w:t>
      </w:r>
      <w:bookmarkEnd w:id="449"/>
      <w:r>
        <w:rPr>
          <w:rFonts w:hint="eastAsia" w:ascii="新宋体" w:hAnsi="新宋体" w:eastAsia="新宋体" w:cs="仿宋_GB2312"/>
          <w:b/>
          <w:bCs/>
          <w:sz w:val="24"/>
        </w:rPr>
        <w:t>工结算申请</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承包人提交竣工结算申请单的期限：</w:t>
      </w:r>
      <w:r>
        <w:rPr>
          <w:rFonts w:hint="eastAsia" w:ascii="新宋体" w:hAnsi="新宋体" w:eastAsia="新宋体" w:cs="仿宋_GB2312"/>
          <w:sz w:val="24"/>
          <w:u w:val="single"/>
        </w:rPr>
        <w:t xml:space="preserve">  竣工验收合格后两个月内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竣工结算申请单应包括的内容：</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（1）工程结算书（含电子版、软件版）；</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（2）工程量计算书、钢筋抽料表（如有）（含电子版）；</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（3）工程承包合同；</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（4）工程竣工资料（含电子版及相关部门要求的专用软件版本、单位工程开工申请报告、单位工程竣工验收报告）</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（5）工程招标文件及招标答疑；</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（6）投标文件（含经济标软件版）、中标通知书；</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（7）图纸会审纪要、设计变更单、工程洽商记录、监理工程师通知或发包人施工指令、会议纪要、现场签证单、材料设备单价呈批审核文件、综合单价呈批审核文件；</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（8）施工图纸、竣工图纸（含电子版和相关部门要求的专用软件版本）；</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（9）工期履行审核表；</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（10）承包人工程结算承诺书；</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（11）工程款支付证明文件；</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（12）其他审计需提交的结算资料；</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（13）移交资料签收表。</w:t>
      </w:r>
    </w:p>
    <w:p>
      <w:pPr>
        <w:overflowPunct w:val="0"/>
        <w:topLinePunct/>
        <w:spacing w:line="360" w:lineRule="auto"/>
        <w:ind w:firstLine="482" w:firstLineChars="200"/>
        <w:rPr>
          <w:rFonts w:ascii="新宋体" w:hAnsi="新宋体" w:eastAsia="新宋体" w:cs="仿宋_GB2312"/>
          <w:b/>
          <w:bCs/>
          <w:sz w:val="24"/>
        </w:rPr>
      </w:pPr>
      <w:r>
        <w:rPr>
          <w:rFonts w:hint="eastAsia" w:ascii="新宋体" w:hAnsi="新宋体" w:eastAsia="新宋体" w:cs="仿宋_GB2312"/>
          <w:b/>
          <w:bCs/>
          <w:sz w:val="24"/>
        </w:rPr>
        <w:t>13.2竣工结算办法</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（1）综合单价包干项目：按工程量清单综合单价包干，工程量按实计算。该单价是指完成规定计量单位工程所需人工、材料、机械、管理费、利润、并考虑本单位所能承担的风险因素等的综合总费用。</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（2）措施项目费：在整个合同执行期间无论图纸变更或工程量清单增减或材料价格变化等情况，措施项目费（包括绿色施工安全防护和其他措施费）按中标报价总价包干结算。</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u w:val="single"/>
        </w:rPr>
        <w:t>（3）变更和工程签证项目计算原则按照本合同第三部分专用合同条款9.2变更估价相关约定执行</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13.3承包人报送竣工结算准确性承诺</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u w:val="single"/>
        </w:rPr>
        <w:t>承包人须如实报送竣工结算，承包人承诺：承包人提交的工程竣工结算价经监理单位、第三方咨询公司等单位审核后的总造价作为送审金额，该送审金额与发包人终审价的误差必须控制在5％内，如超出，除按核减金额的10％作为违约金直接从工程结算款中予以扣减外，委托送审所需的费用（造价咨询结算审核服务费）由承包人承担，该费用由发包人在工程结算款中扣除，承包人没有异议</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13.4结算送审时间及要求</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u w:val="single"/>
        </w:rPr>
        <w:t>承包人必须在通过竣工验收合格后（以通过竣工验收的时间为开始时间）2个月内提交完整的结算资料（一式三份），否则发包人视情况有权委托有资质的第三方造价咨询单位，直接进入结算，委托第三方编制、审核办理结算等事项所产生的费用全部由承包人负责承担，费用直接在工程结算款中直接扣除。</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13.5</w:t>
      </w:r>
      <w:r>
        <w:rPr>
          <w:rFonts w:hint="eastAsia" w:ascii="新宋体" w:hAnsi="新宋体" w:eastAsia="新宋体" w:cs="仿宋_GB2312"/>
          <w:sz w:val="24"/>
          <w:u w:val="single"/>
        </w:rPr>
        <w:t>承包人在收到结算审核报告后一周内需派资料员配合发包人做好工程竣工结算资料归档工作，完成后按付款条例支付结算款。</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14. 缺陷责</w:t>
      </w:r>
      <w:bookmarkEnd w:id="436"/>
      <w:bookmarkEnd w:id="437"/>
      <w:bookmarkEnd w:id="438"/>
      <w:bookmarkEnd w:id="439"/>
      <w:bookmarkEnd w:id="440"/>
      <w:bookmarkEnd w:id="441"/>
      <w:bookmarkEnd w:id="442"/>
      <w:bookmarkEnd w:id="448"/>
      <w:bookmarkStart w:id="450" w:name="_Toc351203647"/>
      <w:bookmarkStart w:id="451" w:name="_Toc267251483"/>
      <w:bookmarkStart w:id="452" w:name="_Toc267251482"/>
      <w:bookmarkStart w:id="453" w:name="_Toc267251484"/>
      <w:bookmarkStart w:id="454" w:name="_Toc267251485"/>
      <w:bookmarkStart w:id="455" w:name="_Toc267251486"/>
      <w:bookmarkStart w:id="456" w:name="_Toc267251490"/>
      <w:bookmarkStart w:id="457" w:name="_Toc267251489"/>
      <w:bookmarkStart w:id="458" w:name="_Toc267251488"/>
      <w:bookmarkStart w:id="459" w:name="_Toc267251502"/>
      <w:bookmarkStart w:id="460" w:name="_Toc267251499"/>
      <w:bookmarkStart w:id="461" w:name="_Toc267251495"/>
      <w:bookmarkStart w:id="462" w:name="_Toc267251492"/>
      <w:bookmarkStart w:id="463" w:name="_Toc267251501"/>
      <w:bookmarkStart w:id="464" w:name="_Toc267251503"/>
      <w:bookmarkStart w:id="465" w:name="_Toc267251493"/>
      <w:bookmarkStart w:id="466" w:name="_Toc267251491"/>
      <w:bookmarkStart w:id="467" w:name="_Toc267251496"/>
      <w:bookmarkStart w:id="468" w:name="_Toc267251494"/>
      <w:bookmarkStart w:id="469" w:name="_Toc267251497"/>
      <w:bookmarkStart w:id="470" w:name="_Toc267251498"/>
      <w:bookmarkStart w:id="471" w:name="_Toc267251504"/>
      <w:bookmarkStart w:id="472" w:name="_Toc267251506"/>
      <w:bookmarkStart w:id="473" w:name="_Toc267251507"/>
      <w:bookmarkStart w:id="474" w:name="_Toc267251508"/>
      <w:bookmarkStart w:id="475" w:name="_Toc267251510"/>
      <w:bookmarkStart w:id="476" w:name="_Toc267251513"/>
      <w:bookmarkStart w:id="477" w:name="_Toc267251514"/>
      <w:bookmarkStart w:id="478" w:name="_Toc267251509"/>
      <w:bookmarkStart w:id="479" w:name="_Toc267251511"/>
      <w:bookmarkStart w:id="480" w:name="_Toc267251515"/>
      <w:r>
        <w:rPr>
          <w:rFonts w:hint="eastAsia" w:ascii="新宋体" w:hAnsi="新宋体" w:eastAsia="新宋体" w:cs="仿宋_GB2312"/>
          <w:sz w:val="24"/>
        </w:rPr>
        <w:t>任期与保修</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14.1缺陷</w:t>
      </w:r>
      <w:bookmarkEnd w:id="450"/>
      <w:r>
        <w:rPr>
          <w:rFonts w:hint="eastAsia" w:ascii="新宋体" w:hAnsi="新宋体" w:eastAsia="新宋体" w:cs="仿宋_GB2312"/>
          <w:sz w:val="24"/>
        </w:rPr>
        <w:t>责任期</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缺陷责任期的</w:t>
      </w:r>
      <w:bookmarkEnd w:id="451"/>
      <w:r>
        <w:rPr>
          <w:rFonts w:hint="eastAsia" w:ascii="新宋体" w:hAnsi="新宋体" w:eastAsia="新宋体" w:cs="仿宋_GB2312"/>
          <w:sz w:val="24"/>
        </w:rPr>
        <w:t>具体期限：</w:t>
      </w:r>
      <w:r>
        <w:rPr>
          <w:rFonts w:hint="eastAsia" w:ascii="新宋体" w:hAnsi="新宋体" w:eastAsia="新宋体" w:cs="仿宋_GB2312"/>
          <w:sz w:val="24"/>
          <w:u w:val="single"/>
        </w:rPr>
        <w:t xml:space="preserve">  按有关规定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14.2 质量保证金</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关于是否扣留质量保证金的约定：</w:t>
      </w:r>
      <w:r>
        <w:rPr>
          <w:rFonts w:hint="eastAsia" w:ascii="新宋体" w:hAnsi="新宋体" w:eastAsia="新宋体" w:cs="仿宋_GB2312"/>
          <w:sz w:val="24"/>
          <w:u w:val="single"/>
        </w:rPr>
        <w:t xml:space="preserve">是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14.2.1 承包人提供质量保证金的方式</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质量保证金采用以下第</w:t>
      </w:r>
      <w:r>
        <w:rPr>
          <w:rFonts w:hint="eastAsia" w:ascii="新宋体" w:hAnsi="新宋体" w:eastAsia="新宋体" w:cs="仿宋_GB2312"/>
          <w:sz w:val="24"/>
          <w:u w:val="single"/>
        </w:rPr>
        <w:t xml:space="preserve"> 2 </w:t>
      </w:r>
      <w:r>
        <w:rPr>
          <w:rFonts w:hint="eastAsia" w:ascii="新宋体" w:hAnsi="新宋体" w:eastAsia="新宋体" w:cs="仿宋_GB2312"/>
          <w:sz w:val="24"/>
        </w:rPr>
        <w:t>种方式：</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（1）质量保证金保函，保证金额为：</w:t>
      </w:r>
      <w:r>
        <w:rPr>
          <w:rFonts w:hint="eastAsia" w:ascii="新宋体" w:hAnsi="新宋体" w:eastAsia="新宋体" w:cs="仿宋_GB2312"/>
          <w:kern w:val="0"/>
          <w:sz w:val="24"/>
          <w:u w:val="single"/>
        </w:rPr>
        <w:t xml:space="preserve">   /   </w:t>
      </w:r>
      <w:r>
        <w:rPr>
          <w:rFonts w:hint="eastAsia" w:ascii="新宋体" w:hAnsi="新宋体" w:eastAsia="新宋体" w:cs="仿宋_GB2312"/>
          <w:kern w:val="0"/>
          <w:sz w:val="24"/>
        </w:rPr>
        <w:t xml:space="preserve">； </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（2）</w:t>
      </w:r>
      <w:r>
        <w:rPr>
          <w:rFonts w:hint="eastAsia" w:ascii="新宋体" w:hAnsi="新宋体" w:eastAsia="新宋体" w:cs="仿宋_GB2312"/>
          <w:kern w:val="0"/>
          <w:sz w:val="24"/>
          <w:u w:val="single"/>
        </w:rPr>
        <w:t xml:space="preserve">  3  </w:t>
      </w:r>
      <w:r>
        <w:rPr>
          <w:rFonts w:hint="eastAsia" w:ascii="新宋体" w:hAnsi="新宋体" w:eastAsia="新宋体" w:cs="仿宋_GB2312"/>
          <w:kern w:val="0"/>
          <w:sz w:val="24"/>
        </w:rPr>
        <w:t>%的工程款（按结算（终审）总金额为基数计算）；</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（3）其他方式：</w:t>
      </w:r>
      <w:r>
        <w:rPr>
          <w:rFonts w:hint="eastAsia" w:ascii="新宋体" w:hAnsi="新宋体" w:eastAsia="新宋体" w:cs="仿宋_GB2312"/>
          <w:kern w:val="0"/>
          <w:sz w:val="24"/>
          <w:u w:val="single"/>
        </w:rPr>
        <w:t xml:space="preserve">   /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 xml:space="preserve">14.2.2 质量保证金的扣留 </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质量保证金的扣留采取以下第</w:t>
      </w:r>
      <w:r>
        <w:rPr>
          <w:rFonts w:hint="eastAsia" w:ascii="新宋体" w:hAnsi="新宋体" w:eastAsia="新宋体" w:cs="仿宋_GB2312"/>
          <w:sz w:val="24"/>
          <w:u w:val="single"/>
        </w:rPr>
        <w:t xml:space="preserve">  2  </w:t>
      </w:r>
      <w:r>
        <w:rPr>
          <w:rFonts w:hint="eastAsia" w:ascii="新宋体" w:hAnsi="新宋体" w:eastAsia="新宋体" w:cs="仿宋_GB2312"/>
          <w:sz w:val="24"/>
        </w:rPr>
        <w:t>种方式：</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（1）在支付工程进度款时逐次扣留，在此情形下，质量保证金的计算基数不包括预付款的支付、扣回以及价格调整的金额；</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（2）工程竣工结算审核（终审）完成后一次性扣留质量保证金；</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（3）其他扣留方式：</w:t>
      </w:r>
      <w:r>
        <w:rPr>
          <w:rFonts w:hint="eastAsia" w:ascii="新宋体" w:hAnsi="新宋体" w:eastAsia="新宋体" w:cs="仿宋_GB2312"/>
          <w:sz w:val="24"/>
          <w:u w:val="single"/>
        </w:rPr>
        <w:t xml:space="preserve">  /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14.2.3 质量保证金退还：</w:t>
      </w:r>
      <w:r>
        <w:rPr>
          <w:rFonts w:hint="eastAsia" w:ascii="新宋体" w:hAnsi="新宋体" w:eastAsia="新宋体" w:cs="仿宋_GB2312"/>
          <w:sz w:val="24"/>
          <w:u w:val="single"/>
        </w:rPr>
        <w:t>保修期限按《建设工程质量管理条例》的有关规定，保修期满两年后，完成保修责任并提交质量回访记录表，无质量问题后14天内无息一次性支付该项目的质量保证金。</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14.3保修</w:t>
      </w:r>
    </w:p>
    <w:bookmarkEnd w:id="452"/>
    <w:bookmarkEnd w:id="453"/>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 xml:space="preserve">14.3.1 </w:t>
      </w:r>
      <w:bookmarkEnd w:id="454"/>
      <w:r>
        <w:rPr>
          <w:rFonts w:hint="eastAsia" w:ascii="新宋体" w:hAnsi="新宋体" w:eastAsia="新宋体" w:cs="仿宋_GB2312"/>
          <w:sz w:val="24"/>
        </w:rPr>
        <w:t>保修责任</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sz w:val="24"/>
        </w:rPr>
        <w:t>工程保修期为：</w:t>
      </w:r>
      <w:r>
        <w:rPr>
          <w:rFonts w:hint="eastAsia" w:ascii="新宋体" w:hAnsi="新宋体" w:eastAsia="新宋体" w:cs="仿宋_GB2312"/>
          <w:kern w:val="0"/>
          <w:sz w:val="24"/>
          <w:u w:val="single"/>
        </w:rPr>
        <w:t xml:space="preserve"> 按国家相关规定执行</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14.3.2 修复通知</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承包人收到保修通知并到达工程现场的合理时间：</w:t>
      </w:r>
      <w:r>
        <w:rPr>
          <w:rFonts w:hint="eastAsia" w:ascii="新宋体" w:hAnsi="新宋体" w:eastAsia="新宋体" w:cs="仿宋_GB2312"/>
          <w:kern w:val="0"/>
          <w:sz w:val="24"/>
          <w:u w:val="single"/>
        </w:rPr>
        <w:t xml:space="preserve"> 1、承包人应在接到修理通知之日后48小时内派人修理；2、发生紧急抢修事故（如上水跑水、暖气漏水漏气、燃气漏气等），承包人接到事故通知后，应立即到达事故现场抢修 。</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15. 违约</w:t>
      </w:r>
    </w:p>
    <w:bookmarkEnd w:id="455"/>
    <w:bookmarkEnd w:id="456"/>
    <w:bookmarkEnd w:id="457"/>
    <w:bookmarkEnd w:id="458"/>
    <w:p>
      <w:pPr>
        <w:overflowPunct w:val="0"/>
        <w:topLinePunct/>
        <w:spacing w:line="360" w:lineRule="auto"/>
        <w:ind w:firstLine="480" w:firstLineChars="200"/>
        <w:rPr>
          <w:rFonts w:ascii="新宋体" w:hAnsi="新宋体" w:eastAsia="新宋体" w:cs="仿宋_GB2312"/>
          <w:sz w:val="24"/>
        </w:rPr>
      </w:pPr>
      <w:bookmarkStart w:id="481" w:name="_Toc351203648"/>
      <w:bookmarkStart w:id="482" w:name="_Toc280868717"/>
      <w:bookmarkStart w:id="483" w:name="_Toc280868718"/>
      <w:r>
        <w:rPr>
          <w:rFonts w:hint="eastAsia" w:ascii="新宋体" w:hAnsi="新宋体" w:eastAsia="新宋体" w:cs="仿宋_GB2312"/>
          <w:sz w:val="24"/>
        </w:rPr>
        <w:t xml:space="preserve">15.1 </w:t>
      </w:r>
      <w:bookmarkEnd w:id="481"/>
      <w:r>
        <w:rPr>
          <w:rFonts w:hint="eastAsia" w:ascii="新宋体" w:hAnsi="新宋体" w:eastAsia="新宋体" w:cs="仿宋_GB2312"/>
          <w:sz w:val="24"/>
        </w:rPr>
        <w:t>违约责任</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15.1.1承包人违约的情形</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承包人违约的其他情形：</w:t>
      </w:r>
      <w:r>
        <w:rPr>
          <w:rFonts w:hint="eastAsia" w:ascii="新宋体" w:hAnsi="新宋体" w:eastAsia="新宋体" w:cs="仿宋_GB2312"/>
          <w:kern w:val="0"/>
          <w:sz w:val="24"/>
          <w:u w:val="single"/>
        </w:rPr>
        <w:t>如承包人的进度或质量达不到发包人的要求，未能限期整改，发包人有权指定其他有资质和能力的单位替代履行相应部分，发包人也有权解除合同并指定有资质能力的单位替代履行未完工程。发包人在与承包人结算时将替代履行所需费用（包括增加支出的费用）从承包人合同价款中扣除，不足部分，由承包人补足。</w:t>
      </w:r>
      <w:r>
        <w:rPr>
          <w:rFonts w:hint="eastAsia" w:ascii="新宋体" w:hAnsi="新宋体" w:eastAsia="新宋体" w:cs="仿宋_GB2312"/>
          <w:kern w:val="0"/>
          <w:sz w:val="24"/>
        </w:rPr>
        <w:t xml:space="preserve"> </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15.1.2 发包人违约的责任</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发包人违约责任的承担方式和计算方法：</w:t>
      </w:r>
    </w:p>
    <w:p>
      <w:pPr>
        <w:overflowPunct w:val="0"/>
        <w:topLinePunct/>
        <w:spacing w:line="360" w:lineRule="auto"/>
        <w:ind w:firstLine="480" w:firstLineChars="200"/>
        <w:rPr>
          <w:rFonts w:ascii="新宋体" w:hAnsi="新宋体" w:eastAsia="新宋体" w:cs="仿宋_GB2312"/>
          <w:kern w:val="0"/>
          <w:sz w:val="24"/>
          <w:u w:val="single"/>
        </w:rPr>
      </w:pPr>
      <w:r>
        <w:rPr>
          <w:rFonts w:hint="eastAsia" w:ascii="新宋体" w:hAnsi="新宋体" w:eastAsia="新宋体" w:cs="仿宋_GB2312"/>
          <w:kern w:val="0"/>
          <w:sz w:val="24"/>
        </w:rPr>
        <w:t>（1）因发包人原因未能在计划开工日期前7天内下达开工通知的违约责任：</w:t>
      </w:r>
      <w:r>
        <w:rPr>
          <w:rFonts w:hint="eastAsia" w:ascii="新宋体" w:hAnsi="新宋体" w:eastAsia="新宋体" w:cs="仿宋_GB2312"/>
          <w:kern w:val="0"/>
          <w:sz w:val="24"/>
          <w:u w:val="single"/>
        </w:rPr>
        <w:t>由承包人提交工期顺延申请，发包人应根据实际情况顺延工期 。</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（2）因发包人违反合同约定造成暂停施工的违约责任：</w:t>
      </w:r>
      <w:r>
        <w:rPr>
          <w:rFonts w:hint="eastAsia" w:ascii="新宋体" w:hAnsi="新宋体" w:eastAsia="新宋体" w:cs="仿宋_GB2312"/>
          <w:kern w:val="0"/>
          <w:sz w:val="24"/>
          <w:u w:val="single"/>
        </w:rPr>
        <w:t>经双方协商，由承包人提交工作联系单，明确顺延工期时间，原则上不得影响学校正常开学。</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15.2 承包人违约</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15.2.1 承包人违约的情形</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承包人违约的其他情形：</w:t>
      </w:r>
      <w:r>
        <w:rPr>
          <w:rFonts w:hint="eastAsia" w:ascii="新宋体" w:hAnsi="新宋体" w:eastAsia="新宋体" w:cs="仿宋_GB2312"/>
          <w:kern w:val="0"/>
          <w:sz w:val="24"/>
          <w:u w:val="single"/>
        </w:rPr>
        <w:t xml:space="preserve">  /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15.2.2承包人违约的责任</w:t>
      </w:r>
    </w:p>
    <w:p>
      <w:pPr>
        <w:overflowPunct w:val="0"/>
        <w:topLinePunct/>
        <w:spacing w:line="360" w:lineRule="auto"/>
        <w:ind w:firstLine="480" w:firstLineChars="200"/>
        <w:rPr>
          <w:rFonts w:ascii="新宋体" w:hAnsi="新宋体" w:eastAsia="新宋体" w:cs="仿宋_GB2312"/>
          <w:kern w:val="0"/>
          <w:sz w:val="24"/>
          <w:u w:val="single"/>
        </w:rPr>
      </w:pPr>
      <w:r>
        <w:rPr>
          <w:rFonts w:hint="eastAsia" w:ascii="新宋体" w:hAnsi="新宋体" w:eastAsia="新宋体" w:cs="仿宋_GB2312"/>
          <w:kern w:val="0"/>
          <w:sz w:val="24"/>
        </w:rPr>
        <w:t>承包人违约责任的承担方式和计算方法：</w:t>
      </w:r>
      <w:r>
        <w:rPr>
          <w:rFonts w:hint="eastAsia" w:ascii="新宋体" w:hAnsi="新宋体" w:eastAsia="新宋体" w:cs="仿宋_GB2312"/>
          <w:kern w:val="0"/>
          <w:sz w:val="24"/>
          <w:u w:val="single"/>
        </w:rPr>
        <w:t xml:space="preserve"> / </w:t>
      </w:r>
      <w:r>
        <w:rPr>
          <w:rFonts w:hint="eastAsia" w:ascii="新宋体" w:hAnsi="新宋体" w:eastAsia="新宋体" w:cs="仿宋_GB2312"/>
          <w:kern w:val="0"/>
          <w:sz w:val="24"/>
        </w:rPr>
        <w:t>。</w:t>
      </w:r>
      <w:r>
        <w:rPr>
          <w:rFonts w:hint="eastAsia" w:ascii="新宋体" w:hAnsi="新宋体" w:eastAsia="新宋体" w:cs="仿宋_GB2312"/>
          <w:sz w:val="24"/>
        </w:rPr>
        <w:t xml:space="preserve">    </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15.2.3 因承包人违约解除合同</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关于承包人违约解除合同的特别约定：</w:t>
      </w:r>
      <w:r>
        <w:rPr>
          <w:rFonts w:hint="eastAsia" w:ascii="新宋体" w:hAnsi="新宋体" w:eastAsia="新宋体" w:cs="仿宋_GB2312"/>
          <w:kern w:val="0"/>
          <w:sz w:val="24"/>
          <w:u w:val="single"/>
        </w:rPr>
        <w:t>发包人所有的损失由承包人承担</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发包人继续使用承包人在施工现场的材料、设备、临时工程、承包人文件和由承包人或以其名义编制的其他文件的费用承担方式：</w:t>
      </w:r>
      <w:r>
        <w:rPr>
          <w:rFonts w:hint="eastAsia" w:ascii="新宋体" w:hAnsi="新宋体" w:eastAsia="新宋体" w:cs="仿宋_GB2312"/>
          <w:sz w:val="24"/>
          <w:u w:val="single"/>
        </w:rPr>
        <w:t xml:space="preserve">  /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16. 不可抗</w:t>
      </w:r>
      <w:bookmarkStart w:id="484" w:name="_Toc351203649"/>
      <w:r>
        <w:rPr>
          <w:rFonts w:hint="eastAsia" w:ascii="新宋体" w:hAnsi="新宋体" w:eastAsia="新宋体" w:cs="仿宋_GB2312"/>
          <w:sz w:val="24"/>
        </w:rPr>
        <w:t xml:space="preserve">力 </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 xml:space="preserve">16.1 </w:t>
      </w:r>
      <w:bookmarkEnd w:id="484"/>
      <w:r>
        <w:rPr>
          <w:rFonts w:hint="eastAsia" w:ascii="新宋体" w:hAnsi="新宋体" w:eastAsia="新宋体" w:cs="仿宋_GB2312"/>
          <w:sz w:val="24"/>
        </w:rPr>
        <w:t>不</w:t>
      </w:r>
      <w:bookmarkEnd w:id="482"/>
      <w:r>
        <w:rPr>
          <w:rFonts w:hint="eastAsia" w:ascii="新宋体" w:hAnsi="新宋体" w:eastAsia="新宋体" w:cs="仿宋_GB2312"/>
          <w:sz w:val="24"/>
        </w:rPr>
        <w:t>可抗力的确认</w:t>
      </w:r>
    </w:p>
    <w:p>
      <w:pPr>
        <w:overflowPunct w:val="0"/>
        <w:topLinePunct/>
        <w:spacing w:line="360" w:lineRule="auto"/>
        <w:ind w:firstLine="480" w:firstLineChars="200"/>
        <w:rPr>
          <w:rFonts w:ascii="新宋体" w:hAnsi="新宋体" w:eastAsia="新宋体" w:cs="仿宋_GB2312"/>
          <w:kern w:val="0"/>
          <w:sz w:val="24"/>
          <w:u w:val="single"/>
        </w:rPr>
      </w:pPr>
      <w:r>
        <w:rPr>
          <w:rFonts w:hint="eastAsia" w:ascii="新宋体" w:hAnsi="新宋体" w:eastAsia="新宋体" w:cs="仿宋_GB2312"/>
          <w:sz w:val="24"/>
        </w:rPr>
        <w:t>除通用合同条款约定的不可抗力事件之外，视为不可抗力的其他情形：</w:t>
      </w:r>
      <w:r>
        <w:rPr>
          <w:rFonts w:hint="eastAsia" w:ascii="新宋体" w:hAnsi="新宋体" w:eastAsia="新宋体" w:cs="仿宋_GB2312"/>
          <w:kern w:val="0"/>
          <w:sz w:val="24"/>
          <w:u w:val="single"/>
        </w:rPr>
        <w:t xml:space="preserve"> / </w:t>
      </w:r>
      <w:r>
        <w:rPr>
          <w:rFonts w:hint="eastAsia" w:ascii="新宋体" w:hAnsi="新宋体" w:eastAsia="新宋体" w:cs="仿宋_GB2312"/>
          <w:kern w:val="0"/>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16.2 因不可抗力解除合同</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合同解除后，发包人应在商定或确定发包人应支付款项后</w:t>
      </w:r>
      <w:r>
        <w:rPr>
          <w:rFonts w:hint="eastAsia" w:ascii="新宋体" w:hAnsi="新宋体" w:eastAsia="新宋体" w:cs="仿宋_GB2312"/>
          <w:sz w:val="24"/>
          <w:u w:val="single"/>
        </w:rPr>
        <w:t xml:space="preserve">  28  </w:t>
      </w:r>
      <w:r>
        <w:rPr>
          <w:rFonts w:hint="eastAsia" w:ascii="新宋体" w:hAnsi="新宋体" w:eastAsia="新宋体" w:cs="仿宋_GB2312"/>
          <w:sz w:val="24"/>
        </w:rPr>
        <w:t>天内完成款项的支付。</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17. 争议解</w:t>
      </w:r>
      <w:bookmarkEnd w:id="459"/>
      <w:bookmarkEnd w:id="460"/>
      <w:bookmarkEnd w:id="461"/>
      <w:bookmarkEnd w:id="462"/>
      <w:bookmarkEnd w:id="463"/>
      <w:bookmarkEnd w:id="464"/>
      <w:bookmarkEnd w:id="465"/>
      <w:bookmarkEnd w:id="466"/>
      <w:bookmarkEnd w:id="467"/>
      <w:bookmarkEnd w:id="468"/>
      <w:bookmarkEnd w:id="469"/>
      <w:bookmarkEnd w:id="470"/>
      <w:bookmarkEnd w:id="483"/>
      <w:bookmarkStart w:id="485" w:name="_Toc351203651"/>
      <w:r>
        <w:rPr>
          <w:rFonts w:hint="eastAsia" w:ascii="新宋体" w:hAnsi="新宋体" w:eastAsia="新宋体" w:cs="仿宋_GB2312"/>
          <w:sz w:val="24"/>
        </w:rPr>
        <w:t>决</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17.1仲裁</w:t>
      </w:r>
      <w:bookmarkEnd w:id="485"/>
      <w:r>
        <w:rPr>
          <w:rFonts w:hint="eastAsia" w:ascii="新宋体" w:hAnsi="新宋体" w:eastAsia="新宋体" w:cs="仿宋_GB2312"/>
          <w:sz w:val="24"/>
        </w:rPr>
        <w:t>或</w:t>
      </w:r>
      <w:bookmarkEnd w:id="471"/>
      <w:bookmarkEnd w:id="472"/>
      <w:bookmarkEnd w:id="473"/>
      <w:r>
        <w:rPr>
          <w:rFonts w:hint="eastAsia" w:ascii="新宋体" w:hAnsi="新宋体" w:eastAsia="新宋体" w:cs="仿宋_GB2312"/>
          <w:sz w:val="24"/>
        </w:rPr>
        <w:t>诉讼</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因合同及合同</w:t>
      </w:r>
      <w:bookmarkEnd w:id="474"/>
      <w:r>
        <w:rPr>
          <w:rFonts w:hint="eastAsia" w:ascii="新宋体" w:hAnsi="新宋体" w:eastAsia="新宋体" w:cs="仿宋_GB2312"/>
          <w:sz w:val="24"/>
        </w:rPr>
        <w:t>有关事项发生的争议，按下列第</w:t>
      </w:r>
      <w:r>
        <w:rPr>
          <w:rFonts w:hint="eastAsia" w:ascii="新宋体" w:hAnsi="新宋体" w:eastAsia="新宋体" w:cs="仿宋_GB2312"/>
          <w:sz w:val="24"/>
          <w:u w:val="single"/>
        </w:rPr>
        <w:t xml:space="preserve"> 2 </w:t>
      </w:r>
      <w:r>
        <w:rPr>
          <w:rFonts w:hint="eastAsia" w:ascii="新宋体" w:hAnsi="新宋体" w:eastAsia="新宋体" w:cs="仿宋_GB2312"/>
          <w:sz w:val="24"/>
        </w:rPr>
        <w:t>种方式解决：</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（1）向</w:t>
      </w:r>
      <w:r>
        <w:rPr>
          <w:rFonts w:hint="eastAsia" w:ascii="新宋体" w:hAnsi="新宋体" w:eastAsia="新宋体" w:cs="仿宋_GB2312"/>
          <w:sz w:val="24"/>
          <w:u w:val="single"/>
        </w:rPr>
        <w:t xml:space="preserve">  广州市 </w:t>
      </w:r>
      <w:r>
        <w:rPr>
          <w:rFonts w:hint="eastAsia" w:ascii="新宋体" w:hAnsi="新宋体" w:eastAsia="新宋体" w:cs="仿宋_GB2312"/>
          <w:sz w:val="24"/>
        </w:rPr>
        <w:t>仲裁委员会申请仲裁；</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（2）向</w:t>
      </w:r>
      <w:r>
        <w:rPr>
          <w:rFonts w:hint="eastAsia" w:ascii="新宋体" w:hAnsi="新宋体" w:eastAsia="新宋体" w:cs="仿宋_GB2312"/>
          <w:sz w:val="24"/>
          <w:u w:val="single"/>
        </w:rPr>
        <w:t xml:space="preserve">  发包人所在地 </w:t>
      </w:r>
      <w:r>
        <w:rPr>
          <w:rFonts w:hint="eastAsia" w:ascii="新宋体" w:hAnsi="新宋体" w:eastAsia="新宋体" w:cs="仿宋_GB2312"/>
          <w:sz w:val="24"/>
        </w:rPr>
        <w:t>人民法院起诉。</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18 补充条</w:t>
      </w:r>
      <w:bookmarkEnd w:id="475"/>
      <w:bookmarkEnd w:id="476"/>
      <w:bookmarkEnd w:id="477"/>
      <w:bookmarkEnd w:id="478"/>
      <w:bookmarkEnd w:id="479"/>
      <w:bookmarkEnd w:id="480"/>
      <w:r>
        <w:rPr>
          <w:rFonts w:hint="eastAsia" w:ascii="新宋体" w:hAnsi="新宋体" w:eastAsia="新宋体" w:cs="仿宋_GB2312"/>
          <w:sz w:val="24"/>
        </w:rPr>
        <w:t>款</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18.1关于农民工工资支付的违约责任：</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（1）</w:t>
      </w:r>
      <w:r>
        <w:rPr>
          <w:rFonts w:hint="eastAsia" w:ascii="新宋体" w:hAnsi="新宋体" w:eastAsia="新宋体" w:cs="仿宋_GB2312"/>
          <w:sz w:val="24"/>
          <w:u w:val="single"/>
        </w:rPr>
        <w:t>承包人切实落实《住房和城乡建设部关于进一步加强和完善建筑劳务管理工作的指导意见》（建市〔2014〕112号）和《广州市住房和城乡建设局关于印发〈广州市建筑施工实名制管理办法〉的通知》（穗建规字〔2020〕18号）中的各项规定，建立施工现场人员基本信息档案，实行实名管理和工资支付制度。</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（2）</w:t>
      </w:r>
      <w:r>
        <w:rPr>
          <w:rFonts w:hint="eastAsia" w:ascii="新宋体" w:hAnsi="新宋体" w:eastAsia="新宋体" w:cs="仿宋_GB2312"/>
          <w:sz w:val="24"/>
          <w:u w:val="single"/>
        </w:rPr>
        <w:t>承包人对实名管理负总责。承包人实施统一管理，落实实名管理制度，保证按时足额支付作业工人工资。承包人随时接受发包人及建设行政主管部门的监督、检查，相关资料由承包人负责，随时备查。</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（3）</w:t>
      </w:r>
      <w:r>
        <w:rPr>
          <w:rFonts w:hint="eastAsia" w:ascii="新宋体" w:hAnsi="新宋体" w:eastAsia="新宋体" w:cs="仿宋_GB2312"/>
          <w:sz w:val="24"/>
          <w:u w:val="single"/>
        </w:rPr>
        <w:t>承包人不得</w:t>
      </w:r>
      <w:r>
        <w:rPr>
          <w:rFonts w:hint="eastAsia" w:ascii="新宋体" w:hAnsi="新宋体" w:eastAsia="新宋体" w:cs="仿宋_GB2312"/>
          <w:sz w:val="24"/>
          <w:u w:val="single"/>
          <w:lang w:val="en-NZ"/>
        </w:rPr>
        <w:t>以任何理由</w:t>
      </w:r>
      <w:r>
        <w:rPr>
          <w:rFonts w:hint="eastAsia" w:ascii="新宋体" w:hAnsi="新宋体" w:eastAsia="新宋体" w:cs="仿宋_GB2312"/>
          <w:sz w:val="24"/>
          <w:u w:val="single"/>
        </w:rPr>
        <w:t>拖欠农民工工资，因拖欠农民工工资而被农民工投诉属实的，承包人必须在3天内发放拖欠的款项。若继续拖延发放农民工工资被投诉2次及以上，经查实，承包人除应立即支付拖欠款项外，还应支付5000元违约金给发包人。</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u w:val="single"/>
        </w:rPr>
        <w:t>（4）因承包人拖欠农民工工资，导致农民工采取停工、集聚围阻发包人办公地点甚至政府办公部门等过激行动的，承包人应支付10000元/次违约金，并立即采取切实有效措施予以整改；拒不采取切实有效措施整改的，或整改效果不明显的，发包人有权用承包人工程款垫付，工程结算审核后支付余下工程费用，若审核后发包人共支付的费用超出审核金额的，承包人应无条件退回超出部分（含质保金）。</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（5）</w:t>
      </w:r>
      <w:r>
        <w:rPr>
          <w:rFonts w:hint="eastAsia" w:ascii="新宋体" w:hAnsi="新宋体" w:eastAsia="新宋体" w:cs="仿宋_GB2312"/>
          <w:sz w:val="24"/>
          <w:u w:val="single"/>
        </w:rPr>
        <w:t>若承包人在本工程内发生无故拖欠农民工工资现象，影响发包人正常教育教学和生活秩序，甚至对发包人的声誉造成损失的，除将被作不良记录、对应的处罚以及上报区建设行政主管部门外，发包人有权追究其法律责任和要求承包人赔偿经济损失等。</w:t>
      </w:r>
    </w:p>
    <w:p>
      <w:pPr>
        <w:overflowPunct w:val="0"/>
        <w:topLinePunct/>
        <w:spacing w:line="360" w:lineRule="auto"/>
        <w:ind w:firstLine="480" w:firstLineChars="200"/>
        <w:rPr>
          <w:rFonts w:ascii="新宋体" w:hAnsi="新宋体" w:eastAsia="新宋体" w:cs="仿宋_GB2312"/>
          <w:kern w:val="0"/>
          <w:sz w:val="24"/>
        </w:rPr>
      </w:pPr>
      <w:bookmarkStart w:id="486" w:name="_Toc296346727"/>
      <w:bookmarkStart w:id="487" w:name="_Toc267261693"/>
      <w:bookmarkStart w:id="488" w:name="_Toc296347225"/>
      <w:bookmarkStart w:id="489" w:name="_Toc296891054"/>
      <w:bookmarkStart w:id="490" w:name="_Toc296944565"/>
      <w:bookmarkStart w:id="491" w:name="_Toc296503226"/>
      <w:bookmarkStart w:id="492" w:name="_Toc296891266"/>
      <w:r>
        <w:rPr>
          <w:rFonts w:hint="eastAsia" w:ascii="新宋体" w:hAnsi="新宋体" w:eastAsia="新宋体" w:cs="仿宋_GB2312"/>
          <w:kern w:val="0"/>
          <w:sz w:val="24"/>
        </w:rPr>
        <w:t>18.2解除或终止合同的结项方式：</w:t>
      </w:r>
    </w:p>
    <w:p>
      <w:pPr>
        <w:overflowPunct w:val="0"/>
        <w:topLinePunct/>
        <w:spacing w:line="360" w:lineRule="auto"/>
        <w:ind w:firstLine="480" w:firstLineChars="200"/>
        <w:rPr>
          <w:rFonts w:ascii="新宋体" w:hAnsi="新宋体" w:eastAsia="新宋体" w:cs="仿宋_GB2312"/>
          <w:kern w:val="0"/>
          <w:sz w:val="24"/>
          <w:u w:val="single"/>
        </w:rPr>
      </w:pPr>
      <w:r>
        <w:rPr>
          <w:rFonts w:hint="eastAsia" w:ascii="新宋体" w:hAnsi="新宋体" w:eastAsia="新宋体" w:cs="仿宋_GB2312"/>
          <w:kern w:val="0"/>
          <w:sz w:val="24"/>
          <w:u w:val="single"/>
        </w:rPr>
        <w:t>若发生解除或终止本合同的情况，本项目按施工图、经发包人确认的设计变更和工程签证实际已完成的工程量结算。</w:t>
      </w:r>
    </w:p>
    <w:p>
      <w:pPr>
        <w:spacing w:line="360" w:lineRule="auto"/>
        <w:rPr>
          <w:rFonts w:ascii="新宋体" w:hAnsi="新宋体" w:eastAsia="新宋体" w:cs="仿宋_GB2312"/>
          <w:sz w:val="30"/>
          <w:szCs w:val="30"/>
        </w:rPr>
      </w:pPr>
    </w:p>
    <w:p>
      <w:pPr>
        <w:overflowPunct w:val="0"/>
        <w:topLinePunct/>
        <w:spacing w:line="360" w:lineRule="auto"/>
        <w:jc w:val="center"/>
        <w:rPr>
          <w:rFonts w:ascii="新宋体" w:hAnsi="新宋体" w:eastAsia="新宋体" w:cs="仿宋_GB2312"/>
          <w:b/>
          <w:sz w:val="36"/>
          <w:szCs w:val="36"/>
        </w:rPr>
      </w:pPr>
      <w:r>
        <w:rPr>
          <w:rFonts w:hint="eastAsia" w:ascii="新宋体" w:hAnsi="新宋体" w:eastAsia="新宋体" w:cs="仿宋_GB2312"/>
          <w:sz w:val="30"/>
          <w:szCs w:val="30"/>
        </w:rPr>
        <w:br w:type="page"/>
      </w:r>
      <w:r>
        <w:rPr>
          <w:rFonts w:hint="eastAsia" w:ascii="新宋体" w:hAnsi="新宋体" w:eastAsia="新宋体" w:cs="仿宋_GB2312"/>
          <w:b/>
          <w:sz w:val="32"/>
          <w:szCs w:val="32"/>
        </w:rPr>
        <w:t>工程</w:t>
      </w:r>
      <w:bookmarkEnd w:id="486"/>
      <w:bookmarkEnd w:id="487"/>
      <w:bookmarkEnd w:id="488"/>
      <w:bookmarkEnd w:id="489"/>
      <w:bookmarkEnd w:id="490"/>
      <w:bookmarkEnd w:id="491"/>
      <w:bookmarkEnd w:id="492"/>
      <w:r>
        <w:rPr>
          <w:rFonts w:hint="eastAsia" w:ascii="新宋体" w:hAnsi="新宋体" w:eastAsia="新宋体" w:cs="仿宋_GB2312"/>
          <w:b/>
          <w:sz w:val="32"/>
          <w:szCs w:val="32"/>
        </w:rPr>
        <w:t>质量保修书</w:t>
      </w:r>
    </w:p>
    <w:p>
      <w:pPr>
        <w:overflowPunct w:val="0"/>
        <w:topLinePunct/>
        <w:spacing w:line="360" w:lineRule="auto"/>
        <w:ind w:firstLine="480" w:firstLineChars="200"/>
        <w:rPr>
          <w:rFonts w:ascii="新宋体" w:hAnsi="新宋体" w:eastAsia="新宋体" w:cs="仿宋_GB2312"/>
          <w:sz w:val="24"/>
        </w:rPr>
      </w:pP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发包人（全称）：</w:t>
      </w:r>
      <w:r>
        <w:rPr>
          <w:rFonts w:hint="eastAsia" w:ascii="新宋体" w:hAnsi="新宋体" w:eastAsia="新宋体" w:cs="仿宋_GB2312"/>
          <w:sz w:val="24"/>
          <w:u w:val="single"/>
        </w:rPr>
        <w:t>广东外语外贸大学</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承包人（全称）：</w:t>
      </w:r>
      <w:r>
        <w:rPr>
          <w:rFonts w:hint="eastAsia" w:ascii="新宋体" w:hAnsi="新宋体" w:eastAsia="新宋体" w:cs="仿宋_GB2312"/>
          <w:sz w:val="24"/>
          <w:u w:val="single"/>
        </w:rPr>
        <w:t xml:space="preserve">                 </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为保证</w:t>
      </w:r>
      <w:r>
        <w:rPr>
          <w:rFonts w:hint="eastAsia" w:ascii="新宋体" w:hAnsi="新宋体" w:eastAsia="新宋体" w:cs="仿宋_GB2312"/>
          <w:sz w:val="24"/>
          <w:u w:val="single"/>
          <w:lang w:eastAsia="zh-CN"/>
        </w:rPr>
        <w:t>白云山校区国际学院公共区域局部修缮项目</w:t>
      </w:r>
      <w:r>
        <w:rPr>
          <w:rFonts w:hint="eastAsia" w:ascii="新宋体" w:hAnsi="新宋体" w:eastAsia="新宋体" w:cs="仿宋_GB2312"/>
          <w:sz w:val="24"/>
        </w:rPr>
        <w:t>在合理使用期限内正常使用，合同双方当事人根据《中华人民共和国建筑法》《建设工程质量管理条例》和《房屋建筑工程质量保修办法》等规定，经协商一致，订立本质量保修书。</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一、工程质量保修范围和内容</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承包人在质量保修期内，按照有关法律规定和合同约定，承担工程质量保修责任。</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质量保修范围包括地基基础工程、主体结构工程、屋面防水工程、有防水要求的卫生间、房间、外墙面的防渗漏工程、电气管线工程、给排水管道工程、设备安装工程、供热、供冷系统工程、装饰装修工程以及双方约定其他项目。具体保修的内容，双方约定如下：</w:t>
      </w:r>
      <w:r>
        <w:rPr>
          <w:rFonts w:hint="eastAsia" w:ascii="新宋体" w:hAnsi="新宋体" w:eastAsia="新宋体" w:cs="仿宋_GB2312"/>
          <w:sz w:val="24"/>
          <w:u w:val="single"/>
        </w:rPr>
        <w:t>按国家有关规定，本工程施工合同约定施工的项目</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二、质量保修期</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根据《建设工程质量管理条例》及有关规定，工程的质量保修期如下：</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1．地基基础工程和主体结构工程为设计文件规定的工程合理使用年限；</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2．屋面防水工程、有防水要求的卫生间、房间和外墙面的防渗为</w:t>
      </w:r>
      <w:r>
        <w:rPr>
          <w:rFonts w:hint="eastAsia" w:ascii="新宋体" w:hAnsi="新宋体" w:eastAsia="新宋体" w:cs="仿宋_GB2312"/>
          <w:sz w:val="24"/>
          <w:u w:val="single"/>
        </w:rPr>
        <w:t xml:space="preserve"> 5 </w:t>
      </w:r>
      <w:r>
        <w:rPr>
          <w:rFonts w:hint="eastAsia" w:ascii="新宋体" w:hAnsi="新宋体" w:eastAsia="新宋体" w:cs="仿宋_GB2312"/>
          <w:sz w:val="24"/>
        </w:rPr>
        <w:t>年；</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3．装修工程为</w:t>
      </w:r>
      <w:r>
        <w:rPr>
          <w:rFonts w:hint="eastAsia" w:ascii="新宋体" w:hAnsi="新宋体" w:eastAsia="新宋体" w:cs="仿宋_GB2312"/>
          <w:sz w:val="24"/>
          <w:u w:val="single"/>
        </w:rPr>
        <w:t xml:space="preserve">  2  </w:t>
      </w:r>
      <w:r>
        <w:rPr>
          <w:rFonts w:hint="eastAsia" w:ascii="新宋体" w:hAnsi="新宋体" w:eastAsia="新宋体" w:cs="仿宋_GB2312"/>
          <w:sz w:val="24"/>
        </w:rPr>
        <w:t>年；</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4．电气管线、给排水管道、设备安装工程为</w:t>
      </w:r>
      <w:r>
        <w:rPr>
          <w:rFonts w:hint="eastAsia" w:ascii="新宋体" w:hAnsi="新宋体" w:eastAsia="新宋体" w:cs="仿宋_GB2312"/>
          <w:sz w:val="24"/>
          <w:u w:val="single"/>
        </w:rPr>
        <w:t xml:space="preserve">  2  </w:t>
      </w:r>
      <w:r>
        <w:rPr>
          <w:rFonts w:hint="eastAsia" w:ascii="新宋体" w:hAnsi="新宋体" w:eastAsia="新宋体" w:cs="仿宋_GB2312"/>
          <w:sz w:val="24"/>
        </w:rPr>
        <w:t>年；</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5．供热与供冷系统为</w:t>
      </w:r>
      <w:r>
        <w:rPr>
          <w:rFonts w:hint="eastAsia" w:ascii="新宋体" w:hAnsi="新宋体" w:eastAsia="新宋体" w:cs="仿宋_GB2312"/>
          <w:sz w:val="24"/>
          <w:u w:val="single"/>
        </w:rPr>
        <w:t xml:space="preserve">  2  </w:t>
      </w:r>
      <w:r>
        <w:rPr>
          <w:rFonts w:hint="eastAsia" w:ascii="新宋体" w:hAnsi="新宋体" w:eastAsia="新宋体" w:cs="仿宋_GB2312"/>
          <w:sz w:val="24"/>
        </w:rPr>
        <w:t>个采暖期、供冷期；</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6．给排水设施、道路等配套工程为</w:t>
      </w:r>
      <w:r>
        <w:rPr>
          <w:rFonts w:hint="eastAsia" w:ascii="新宋体" w:hAnsi="新宋体" w:eastAsia="新宋体" w:cs="仿宋_GB2312"/>
          <w:sz w:val="24"/>
          <w:u w:val="single"/>
        </w:rPr>
        <w:t xml:space="preserve">   2   </w:t>
      </w:r>
      <w:r>
        <w:rPr>
          <w:rFonts w:hint="eastAsia" w:ascii="新宋体" w:hAnsi="新宋体" w:eastAsia="新宋体" w:cs="仿宋_GB2312"/>
          <w:sz w:val="24"/>
        </w:rPr>
        <w:t>年；</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7．其他项目保修期限约定如下：</w:t>
      </w:r>
      <w:r>
        <w:rPr>
          <w:rFonts w:hint="eastAsia" w:ascii="新宋体" w:hAnsi="新宋体" w:eastAsia="新宋体" w:cs="仿宋_GB2312"/>
          <w:sz w:val="24"/>
          <w:u w:val="single"/>
        </w:rPr>
        <w:t xml:space="preserve">  其他项目的保修期为2年  </w:t>
      </w:r>
      <w:r>
        <w:rPr>
          <w:rFonts w:hint="eastAsia" w:ascii="新宋体" w:hAnsi="新宋体" w:eastAsia="新宋体" w:cs="仿宋_GB2312"/>
          <w:sz w:val="24"/>
        </w:rPr>
        <w:t>。</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质量保修期自工程竣工验收合格之日起计算。</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三、质量保修责任</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1．属于保修范围、内容的项目，承包人应当在接到保修通知之日起48小时内派人保修。承包人不在约定期限内派人保修的，发包人可以自行委托他人修理，修理费用从质量保修金内扣除。</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2．发生紧急事故需抢修的（如上水跑水、暖气漏水漏气、燃气漏气等），承包人在接到事故通知后，应当立即到达事故现场抢修。非承包人施工质量引起的事故，抢修费用由发包人承担。</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在国家规定的工程合理使用期限内，承包人确保地基基础工程和主体结构的质量。凡出现其质量问题，应立即报告主管部门，经设计人提出保修方案后，承包人应立即实施保修。因承包人原因致使工程在合理使用期限内造成人身和财产损害的，承包人应承担损害赔偿责任。</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4．质量保修完成后，由发包人组织验收。</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四、质量保修金的返还</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工程竣工验收通过之日起满两年14天内，发包人向承包人付清剩余工程结算款（无息）。</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五、双方约定的其他工程质量保修事项：</w:t>
      </w:r>
      <w:r>
        <w:rPr>
          <w:rFonts w:hint="eastAsia" w:ascii="新宋体" w:hAnsi="新宋体" w:eastAsia="新宋体" w:cs="仿宋_GB2312"/>
          <w:sz w:val="24"/>
          <w:u w:val="single"/>
        </w:rPr>
        <w:t xml:space="preserve"> 保修金返还后，仍在保修期内的工程内容在发包人正常使用情况下，如发生属本保修书规定范围的保修事项时，承包人不能免除相应的保修责任，应及时按规定时限修理并承担费用，否则，发包人可以通过法律途径追究承包人的责任。</w:t>
      </w:r>
    </w:p>
    <w:p>
      <w:pPr>
        <w:overflowPunct w:val="0"/>
        <w:topLinePunct/>
        <w:spacing w:line="360" w:lineRule="auto"/>
        <w:ind w:firstLine="480" w:firstLineChars="200"/>
        <w:rPr>
          <w:rFonts w:ascii="新宋体" w:hAnsi="新宋体" w:eastAsia="新宋体" w:cs="仿宋_GB2312"/>
          <w:sz w:val="28"/>
          <w:szCs w:val="28"/>
        </w:rPr>
      </w:pPr>
      <w:r>
        <w:rPr>
          <w:rFonts w:hint="eastAsia" w:ascii="新宋体" w:hAnsi="新宋体" w:eastAsia="新宋体" w:cs="仿宋_GB2312"/>
          <w:sz w:val="24"/>
        </w:rPr>
        <w:t>工程质量保修书由发包人、承包人在工程竣工验收前共同签署，作为施工合同附件，其有效期限至保修期满。</w:t>
      </w:r>
    </w:p>
    <w:p>
      <w:pPr>
        <w:overflowPunct w:val="0"/>
        <w:topLinePunct/>
        <w:spacing w:line="360" w:lineRule="auto"/>
        <w:jc w:val="left"/>
        <w:rPr>
          <w:rFonts w:ascii="新宋体" w:hAnsi="新宋体" w:eastAsia="新宋体" w:cs="仿宋_GB2312"/>
          <w:sz w:val="28"/>
          <w:szCs w:val="28"/>
        </w:rPr>
      </w:pPr>
    </w:p>
    <w:p>
      <w:pPr>
        <w:overflowPunct w:val="0"/>
        <w:topLinePunct/>
        <w:spacing w:line="360" w:lineRule="auto"/>
        <w:jc w:val="left"/>
        <w:rPr>
          <w:rFonts w:ascii="新宋体" w:hAnsi="新宋体" w:eastAsia="新宋体" w:cs="仿宋_GB2312"/>
          <w:sz w:val="28"/>
          <w:szCs w:val="28"/>
        </w:rPr>
      </w:pPr>
    </w:p>
    <w:p>
      <w:pPr>
        <w:overflowPunct w:val="0"/>
        <w:topLinePunct/>
        <w:spacing w:line="360" w:lineRule="auto"/>
        <w:ind w:left="5520" w:hanging="5520" w:hangingChars="2300"/>
        <w:jc w:val="left"/>
        <w:rPr>
          <w:rFonts w:ascii="新宋体" w:hAnsi="新宋体" w:eastAsia="新宋体" w:cs="仿宋_GB2312"/>
          <w:sz w:val="24"/>
          <w:u w:val="single"/>
        </w:rPr>
      </w:pPr>
      <w:r>
        <w:rPr>
          <w:rFonts w:hint="eastAsia" w:ascii="新宋体" w:hAnsi="新宋体" w:eastAsia="新宋体" w:cs="仿宋_GB2312"/>
          <w:sz w:val="24"/>
        </w:rPr>
        <w:t>发包人（公章）：</w:t>
      </w:r>
      <w:r>
        <w:rPr>
          <w:rFonts w:hint="eastAsia" w:ascii="新宋体" w:hAnsi="新宋体" w:eastAsia="新宋体" w:cs="仿宋_GB2312"/>
          <w:sz w:val="24"/>
          <w:u w:val="single"/>
        </w:rPr>
        <w:t xml:space="preserve">广东外语外贸大学 </w:t>
      </w:r>
      <w:r>
        <w:rPr>
          <w:rFonts w:hint="eastAsia" w:ascii="新宋体" w:hAnsi="新宋体" w:eastAsia="新宋体" w:cs="仿宋_GB2312"/>
          <w:sz w:val="24"/>
        </w:rPr>
        <w:t xml:space="preserve">    承包人（公章）：</w:t>
      </w:r>
      <w:r>
        <w:rPr>
          <w:rFonts w:hint="eastAsia" w:ascii="新宋体" w:hAnsi="新宋体" w:eastAsia="新宋体" w:cs="仿宋_GB2312"/>
          <w:sz w:val="24"/>
          <w:u w:val="single"/>
        </w:rPr>
        <w:t xml:space="preserve">              </w:t>
      </w:r>
    </w:p>
    <w:p>
      <w:pPr>
        <w:overflowPunct w:val="0"/>
        <w:topLinePunct/>
        <w:spacing w:line="360" w:lineRule="auto"/>
        <w:jc w:val="left"/>
        <w:rPr>
          <w:rFonts w:ascii="新宋体" w:hAnsi="新宋体" w:eastAsia="新宋体" w:cs="仿宋_GB2312"/>
          <w:sz w:val="24"/>
        </w:rPr>
      </w:pPr>
      <w:r>
        <w:rPr>
          <w:rFonts w:hint="eastAsia" w:ascii="新宋体" w:hAnsi="新宋体" w:eastAsia="新宋体" w:cs="仿宋_GB2312"/>
          <w:sz w:val="24"/>
        </w:rPr>
        <w:t>法定代表人：</w:t>
      </w:r>
      <w:r>
        <w:rPr>
          <w:rFonts w:hint="eastAsia" w:ascii="新宋体" w:hAnsi="新宋体" w:eastAsia="新宋体" w:cs="仿宋_GB2312"/>
          <w:sz w:val="24"/>
          <w:u w:val="single"/>
        </w:rPr>
        <w:t xml:space="preserve">           </w:t>
      </w:r>
      <w:r>
        <w:rPr>
          <w:rFonts w:hint="eastAsia" w:ascii="新宋体" w:hAnsi="新宋体" w:eastAsia="新宋体" w:cs="仿宋_GB2312"/>
          <w:sz w:val="24"/>
        </w:rPr>
        <w:t xml:space="preserve">        法定代表人：</w:t>
      </w:r>
      <w:r>
        <w:rPr>
          <w:rFonts w:hint="eastAsia" w:ascii="新宋体" w:hAnsi="新宋体" w:eastAsia="新宋体" w:cs="仿宋_GB2312"/>
          <w:sz w:val="24"/>
          <w:u w:val="single"/>
        </w:rPr>
        <w:t xml:space="preserve">           </w:t>
      </w:r>
    </w:p>
    <w:p>
      <w:pPr>
        <w:overflowPunct w:val="0"/>
        <w:topLinePunct/>
        <w:spacing w:line="360" w:lineRule="auto"/>
        <w:jc w:val="left"/>
        <w:rPr>
          <w:rFonts w:ascii="新宋体" w:hAnsi="新宋体" w:eastAsia="新宋体" w:cs="仿宋_GB2312"/>
          <w:sz w:val="24"/>
        </w:rPr>
      </w:pPr>
      <w:r>
        <w:rPr>
          <w:rFonts w:hint="eastAsia" w:ascii="新宋体" w:hAnsi="新宋体" w:eastAsia="新宋体" w:cs="仿宋_GB2312"/>
          <w:sz w:val="24"/>
        </w:rPr>
        <w:t>或委托代理人：</w:t>
      </w:r>
      <w:r>
        <w:rPr>
          <w:rFonts w:hint="eastAsia" w:ascii="新宋体" w:hAnsi="新宋体" w:eastAsia="新宋体" w:cs="仿宋_GB2312"/>
          <w:sz w:val="24"/>
          <w:u w:val="single"/>
        </w:rPr>
        <w:t xml:space="preserve">         </w:t>
      </w:r>
      <w:r>
        <w:rPr>
          <w:rFonts w:hint="eastAsia" w:ascii="新宋体" w:hAnsi="新宋体" w:eastAsia="新宋体" w:cs="仿宋_GB2312"/>
          <w:sz w:val="24"/>
        </w:rPr>
        <w:t xml:space="preserve">        或委托代理人：</w:t>
      </w:r>
      <w:r>
        <w:rPr>
          <w:rFonts w:hint="eastAsia" w:ascii="新宋体" w:hAnsi="新宋体" w:eastAsia="新宋体" w:cs="仿宋_GB2312"/>
          <w:sz w:val="24"/>
          <w:u w:val="single"/>
        </w:rPr>
        <w:t xml:space="preserve">         </w:t>
      </w:r>
    </w:p>
    <w:p>
      <w:pPr>
        <w:overflowPunct w:val="0"/>
        <w:topLinePunct/>
        <w:spacing w:line="360" w:lineRule="auto"/>
        <w:ind w:firstLine="480" w:firstLineChars="200"/>
        <w:rPr>
          <w:rFonts w:ascii="新宋体" w:hAnsi="新宋体" w:eastAsia="新宋体" w:cs="仿宋_GB2312"/>
          <w:bCs/>
          <w:sz w:val="24"/>
        </w:rPr>
      </w:pPr>
    </w:p>
    <w:p>
      <w:pPr>
        <w:overflowPunct w:val="0"/>
        <w:topLinePunct/>
        <w:spacing w:line="360" w:lineRule="auto"/>
        <w:jc w:val="left"/>
        <w:rPr>
          <w:rFonts w:ascii="新宋体" w:hAnsi="新宋体" w:eastAsia="新宋体" w:cs="仿宋_GB2312"/>
          <w:kern w:val="0"/>
          <w:sz w:val="24"/>
        </w:rPr>
      </w:pPr>
      <w:r>
        <w:rPr>
          <w:rFonts w:hint="eastAsia" w:ascii="新宋体" w:hAnsi="新宋体" w:eastAsia="新宋体" w:cs="仿宋_GB2312"/>
          <w:bCs/>
          <w:sz w:val="24"/>
        </w:rPr>
        <w:t>签订时间：</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年</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月</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日</w:t>
      </w:r>
    </w:p>
    <w:p>
      <w:pPr>
        <w:overflowPunct w:val="0"/>
        <w:topLinePunct/>
        <w:spacing w:line="360" w:lineRule="auto"/>
        <w:jc w:val="center"/>
        <w:rPr>
          <w:rFonts w:ascii="新宋体" w:hAnsi="新宋体" w:eastAsia="新宋体" w:cs="仿宋_GB2312"/>
          <w:b/>
          <w:sz w:val="32"/>
          <w:szCs w:val="32"/>
        </w:rPr>
      </w:pPr>
      <w:r>
        <w:rPr>
          <w:rFonts w:hint="eastAsia" w:ascii="新宋体" w:hAnsi="新宋体" w:eastAsia="新宋体" w:cs="仿宋_GB2312"/>
          <w:b/>
          <w:sz w:val="36"/>
          <w:szCs w:val="36"/>
        </w:rPr>
        <w:br w:type="page"/>
      </w:r>
      <w:r>
        <w:rPr>
          <w:rFonts w:hint="eastAsia" w:ascii="新宋体" w:hAnsi="新宋体" w:eastAsia="新宋体" w:cs="仿宋_GB2312"/>
          <w:b/>
          <w:sz w:val="32"/>
          <w:szCs w:val="32"/>
        </w:rPr>
        <w:t>廉 政 合 同</w:t>
      </w:r>
    </w:p>
    <w:p>
      <w:pPr>
        <w:overflowPunct w:val="0"/>
        <w:topLinePunct/>
        <w:spacing w:line="360" w:lineRule="auto"/>
        <w:jc w:val="center"/>
        <w:rPr>
          <w:rFonts w:ascii="新宋体" w:hAnsi="新宋体" w:eastAsia="新宋体" w:cs="仿宋_GB2312"/>
          <w:b/>
          <w:sz w:val="32"/>
          <w:szCs w:val="32"/>
        </w:rPr>
      </w:pPr>
    </w:p>
    <w:p>
      <w:pPr>
        <w:overflowPunct w:val="0"/>
        <w:topLinePunct/>
        <w:spacing w:line="360" w:lineRule="auto"/>
        <w:ind w:firstLine="480" w:firstLineChars="200"/>
        <w:rPr>
          <w:rFonts w:ascii="新宋体" w:hAnsi="新宋体" w:eastAsia="新宋体" w:cs="仿宋_GB2312"/>
          <w:b/>
          <w:sz w:val="24"/>
          <w:u w:val="single"/>
        </w:rPr>
      </w:pPr>
      <w:r>
        <w:rPr>
          <w:rFonts w:hint="eastAsia" w:ascii="新宋体" w:hAnsi="新宋体" w:eastAsia="新宋体" w:cs="仿宋_GB2312"/>
          <w:sz w:val="24"/>
        </w:rPr>
        <w:t>发包人：（全称）</w:t>
      </w:r>
      <w:r>
        <w:rPr>
          <w:rFonts w:hint="eastAsia" w:ascii="新宋体" w:hAnsi="新宋体" w:eastAsia="新宋体" w:cs="仿宋_GB2312"/>
          <w:sz w:val="24"/>
          <w:u w:val="single"/>
        </w:rPr>
        <w:t xml:space="preserve">广东外语外贸大学 </w:t>
      </w:r>
    </w:p>
    <w:p>
      <w:pPr>
        <w:overflowPunct w:val="0"/>
        <w:topLinePunct/>
        <w:spacing w:line="360" w:lineRule="auto"/>
        <w:ind w:firstLine="480" w:firstLineChars="200"/>
        <w:rPr>
          <w:rFonts w:ascii="新宋体" w:hAnsi="新宋体" w:eastAsia="新宋体" w:cs="仿宋_GB2312"/>
          <w:sz w:val="24"/>
          <w:u w:val="single"/>
        </w:rPr>
      </w:pPr>
      <w:r>
        <w:rPr>
          <w:rFonts w:hint="eastAsia" w:ascii="新宋体" w:hAnsi="新宋体" w:eastAsia="新宋体" w:cs="仿宋_GB2312"/>
          <w:sz w:val="24"/>
        </w:rPr>
        <w:t>承包人：（全称）</w:t>
      </w:r>
      <w:r>
        <w:rPr>
          <w:rFonts w:hint="eastAsia" w:ascii="新宋体" w:hAnsi="新宋体" w:eastAsia="新宋体" w:cs="仿宋_GB2312"/>
          <w:sz w:val="24"/>
          <w:u w:val="single"/>
        </w:rPr>
        <w:t xml:space="preserve">                 </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根据国家、省工程建设和廉政建设的有关规定，为做好合同工程的廉政建设，保证工程质量与施工安全，提高建设资金的有效使用和投资效益，发包人承包人就加强合同工程的廉政建设，订立本合同。</w:t>
      </w:r>
    </w:p>
    <w:p>
      <w:pPr>
        <w:overflowPunct w:val="0"/>
        <w:topLinePunct/>
        <w:spacing w:line="360" w:lineRule="auto"/>
        <w:ind w:firstLine="482" w:firstLineChars="200"/>
        <w:rPr>
          <w:rFonts w:ascii="新宋体" w:hAnsi="新宋体" w:eastAsia="新宋体" w:cs="仿宋_GB2312"/>
          <w:b/>
          <w:bCs/>
          <w:sz w:val="24"/>
        </w:rPr>
      </w:pPr>
      <w:r>
        <w:rPr>
          <w:rFonts w:hint="eastAsia" w:ascii="新宋体" w:hAnsi="新宋体" w:eastAsia="新宋体" w:cs="仿宋_GB2312"/>
          <w:b/>
          <w:bCs/>
          <w:sz w:val="24"/>
        </w:rPr>
        <w:t>1  双方权利和义务</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1.1  严格遵守国家有关法律法规的规定。</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1.2  严格执行一切合同文件，自觉按合同办事。</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1.3  双方的业务活动坚持公平、公开、公正和诚信的原则（法律认定的商业秘密和合同文件另有规定除外），不得损害国家和集体利益，不得违反工程建设管理规章制度。</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1.4  建立健全廉政制度，开展廉政教育，设立廉政告示牌，公布举报电话，监督并认真查处违法违纪行为。</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1.5  发现对方在业务活动中有违反廉政建设规定的行为，应及时给予提醒和纠正。</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1.6  发现对方严重违反合同的行为，有向其上级部门举报、建议给予处理并要求告知处理结果的权利。没有上级部门的，可按施工合同通用条款第70条规定处理。</w:t>
      </w:r>
    </w:p>
    <w:p>
      <w:pPr>
        <w:overflowPunct w:val="0"/>
        <w:topLinePunct/>
        <w:spacing w:line="360" w:lineRule="auto"/>
        <w:ind w:firstLine="482" w:firstLineChars="200"/>
        <w:rPr>
          <w:rFonts w:ascii="新宋体" w:hAnsi="新宋体" w:eastAsia="新宋体" w:cs="仿宋_GB2312"/>
          <w:b/>
          <w:bCs/>
          <w:sz w:val="24"/>
        </w:rPr>
      </w:pPr>
      <w:r>
        <w:rPr>
          <w:rFonts w:hint="eastAsia" w:ascii="新宋体" w:hAnsi="新宋体" w:eastAsia="新宋体" w:cs="仿宋_GB2312"/>
          <w:b/>
          <w:bCs/>
          <w:sz w:val="24"/>
        </w:rPr>
        <w:t>2  发包人义务</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2.1  发包人及其工作人员不得索要或接受承包人的礼金、有价证券和贵重物品，不得在承包人报销任何应由发包人或工作人员个人支付的费用等。</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2.2  发包人及其工作人员不得参加承包人安排的宴请（工作餐除外）和娱乐活动；不得接受承包人提供的通讯工具、交通工具和高档办公用品等。</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2.3  发包人及其工作人员不得要求或者接受承包人为其住房装修、婚丧嫁娶活动、配偶子女的工作安排以及出国出境、旅游等提供方便等。</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2.4  发包人及其工作人员及其配偶、子女不得从事与发包人有关的工程材料设备供应、工程分包、劳务等经济活动。</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2.5  发包人及其工作人员不得以任何理由向承包人推荐分包单位或推销材料，不得要求承包人购买合同约定外的材料和设备。</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2.6  发包人及其工作人员要秉公办事，不准营私舞弊，不准利用职权从事各种个人有偿中介活动和安排个人施工队伍。</w:t>
      </w:r>
    </w:p>
    <w:p>
      <w:pPr>
        <w:overflowPunct w:val="0"/>
        <w:topLinePunct/>
        <w:spacing w:line="360" w:lineRule="auto"/>
        <w:ind w:firstLine="482" w:firstLineChars="200"/>
        <w:rPr>
          <w:rFonts w:ascii="新宋体" w:hAnsi="新宋体" w:eastAsia="新宋体" w:cs="仿宋_GB2312"/>
          <w:b/>
          <w:bCs/>
          <w:sz w:val="24"/>
        </w:rPr>
      </w:pPr>
      <w:r>
        <w:rPr>
          <w:rFonts w:hint="eastAsia" w:ascii="新宋体" w:hAnsi="新宋体" w:eastAsia="新宋体" w:cs="仿宋_GB2312"/>
          <w:b/>
          <w:bCs/>
          <w:sz w:val="24"/>
        </w:rPr>
        <w:t>3  承包人义务</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3.1  承包人不得以任何理由向发包人及其工作人员行贿或馈赠礼金、有价证券、贵重礼品。</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3.2  承包人不得以任何名义为发包人及其工作人员报销应由发包人或工作人员个人支付的任何费用。</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3.3  承包人不得以任何理由安排发包人及其工作人员参加宴请（工作餐除外）及娱乐活动。</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3.4  承包人不得为发包人和个人购置或提供通讯工具、交通工具和高档办公用品等。</w:t>
      </w:r>
    </w:p>
    <w:p>
      <w:pPr>
        <w:tabs>
          <w:tab w:val="left" w:pos="900"/>
        </w:tabs>
        <w:overflowPunct w:val="0"/>
        <w:topLinePunct/>
        <w:spacing w:line="360" w:lineRule="auto"/>
        <w:ind w:firstLine="482" w:firstLineChars="200"/>
        <w:rPr>
          <w:rFonts w:ascii="新宋体" w:hAnsi="新宋体" w:eastAsia="新宋体" w:cs="仿宋_GB2312"/>
          <w:b/>
          <w:bCs/>
          <w:sz w:val="24"/>
        </w:rPr>
      </w:pPr>
      <w:r>
        <w:rPr>
          <w:rFonts w:hint="eastAsia" w:ascii="新宋体" w:hAnsi="新宋体" w:eastAsia="新宋体" w:cs="仿宋_GB2312"/>
          <w:b/>
          <w:bCs/>
          <w:sz w:val="24"/>
        </w:rPr>
        <w:t>4  违约责任</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4.1  发包人及其工作人员违反本合同第1条和第2条规定，应依据有关规定给予廉政建设规定的处分；涉嫌犯罪的，移交司法机关追究刑事责任；给承包人造成经济损失的，应予赔偿。</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4.2  承包人及其工作人员违反本合同第1条和第3条规定，应依据有关规定给予廉政建设规定的处分；给发包人造成经济损失的，应予赔偿；情节严重的，给予承包人一至三年内不得进入工程建设市场的处罚。</w:t>
      </w:r>
    </w:p>
    <w:p>
      <w:pPr>
        <w:overflowPunct w:val="0"/>
        <w:topLinePunct/>
        <w:spacing w:line="360" w:lineRule="auto"/>
        <w:ind w:firstLine="482" w:firstLineChars="200"/>
        <w:rPr>
          <w:rFonts w:ascii="新宋体" w:hAnsi="新宋体" w:eastAsia="新宋体" w:cs="仿宋_GB2312"/>
          <w:b/>
          <w:bCs/>
          <w:sz w:val="24"/>
        </w:rPr>
      </w:pPr>
      <w:r>
        <w:rPr>
          <w:rFonts w:hint="eastAsia" w:ascii="新宋体" w:hAnsi="新宋体" w:eastAsia="新宋体" w:cs="仿宋_GB2312"/>
          <w:b/>
          <w:bCs/>
          <w:sz w:val="24"/>
        </w:rPr>
        <w:t>5  双方约定</w:t>
      </w:r>
    </w:p>
    <w:p>
      <w:pPr>
        <w:pStyle w:val="26"/>
        <w:overflowPunct w:val="0"/>
        <w:topLinePunct/>
        <w:ind w:firstLine="480" w:firstLineChars="200"/>
        <w:rPr>
          <w:rFonts w:cs="仿宋_GB2312"/>
          <w:sz w:val="24"/>
          <w:szCs w:val="24"/>
        </w:rPr>
      </w:pPr>
      <w:r>
        <w:rPr>
          <w:rFonts w:hint="eastAsia" w:cs="仿宋_GB2312"/>
          <w:sz w:val="24"/>
          <w:szCs w:val="24"/>
        </w:rPr>
        <w:t>本合同由双方或其上级部门负责监督执行，并由双方或其上级部门相互约请对本合同执行情况进行检查。</w:t>
      </w:r>
    </w:p>
    <w:p>
      <w:pPr>
        <w:overflowPunct w:val="0"/>
        <w:topLinePunct/>
        <w:spacing w:line="360" w:lineRule="auto"/>
        <w:ind w:firstLine="482" w:firstLineChars="200"/>
        <w:rPr>
          <w:rFonts w:ascii="新宋体" w:hAnsi="新宋体" w:eastAsia="新宋体" w:cs="仿宋_GB2312"/>
          <w:b/>
          <w:bCs/>
          <w:sz w:val="24"/>
        </w:rPr>
      </w:pPr>
      <w:r>
        <w:rPr>
          <w:rFonts w:hint="eastAsia" w:ascii="新宋体" w:hAnsi="新宋体" w:eastAsia="新宋体" w:cs="仿宋_GB2312"/>
          <w:b/>
          <w:bCs/>
          <w:sz w:val="24"/>
        </w:rPr>
        <w:t>6  合同生效</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本合同的有效期，自双方签署之日起至该工程竣工验收合格之日止。</w:t>
      </w:r>
    </w:p>
    <w:p>
      <w:pPr>
        <w:overflowPunct w:val="0"/>
        <w:topLinePunct/>
        <w:spacing w:line="360" w:lineRule="auto"/>
        <w:ind w:firstLine="482" w:firstLineChars="200"/>
        <w:rPr>
          <w:rFonts w:ascii="新宋体" w:hAnsi="新宋体" w:eastAsia="新宋体" w:cs="仿宋_GB2312"/>
          <w:b/>
          <w:bCs/>
          <w:sz w:val="24"/>
        </w:rPr>
      </w:pPr>
      <w:r>
        <w:rPr>
          <w:rFonts w:hint="eastAsia" w:ascii="新宋体" w:hAnsi="新宋体" w:eastAsia="新宋体" w:cs="仿宋_GB2312"/>
          <w:b/>
          <w:bCs/>
          <w:sz w:val="24"/>
        </w:rPr>
        <w:t>7  合同法律效力</w:t>
      </w:r>
    </w:p>
    <w:p>
      <w:pPr>
        <w:overflowPunct w:val="0"/>
        <w:topLinePunct/>
        <w:spacing w:line="360" w:lineRule="auto"/>
        <w:ind w:firstLine="480" w:firstLineChars="200"/>
        <w:rPr>
          <w:rFonts w:ascii="新宋体" w:hAnsi="新宋体" w:eastAsia="新宋体" w:cs="仿宋_GB2312"/>
          <w:sz w:val="24"/>
        </w:rPr>
      </w:pPr>
      <w:r>
        <w:rPr>
          <w:rFonts w:hint="eastAsia" w:ascii="新宋体" w:hAnsi="新宋体" w:eastAsia="新宋体" w:cs="仿宋_GB2312"/>
          <w:sz w:val="24"/>
        </w:rPr>
        <w:t>本合同作为</w:t>
      </w:r>
      <w:r>
        <w:rPr>
          <w:rFonts w:hint="eastAsia" w:ascii="新宋体" w:hAnsi="新宋体" w:eastAsia="新宋体" w:cs="仿宋_GB2312"/>
          <w:sz w:val="24"/>
          <w:u w:val="single"/>
          <w:lang w:eastAsia="zh-CN"/>
        </w:rPr>
        <w:t>白云山校区国际学院公共区域局部修缮项目</w:t>
      </w:r>
      <w:r>
        <w:rPr>
          <w:rFonts w:hint="eastAsia" w:ascii="新宋体" w:hAnsi="新宋体" w:eastAsia="新宋体" w:cs="仿宋_GB2312"/>
          <w:sz w:val="24"/>
        </w:rPr>
        <w:t>施工合同的附件，与施工合同具有同等的法律效力，经双方签署后生效。</w:t>
      </w:r>
    </w:p>
    <w:p>
      <w:pPr>
        <w:overflowPunct w:val="0"/>
        <w:topLinePunct/>
        <w:spacing w:line="360" w:lineRule="auto"/>
        <w:ind w:firstLine="482" w:firstLineChars="200"/>
        <w:rPr>
          <w:rFonts w:ascii="新宋体" w:hAnsi="新宋体" w:eastAsia="新宋体" w:cs="仿宋_GB2312"/>
          <w:b/>
          <w:bCs/>
          <w:sz w:val="24"/>
        </w:rPr>
      </w:pPr>
      <w:r>
        <w:rPr>
          <w:rFonts w:hint="eastAsia" w:ascii="新宋体" w:hAnsi="新宋体" w:eastAsia="新宋体" w:cs="仿宋_GB2312"/>
          <w:b/>
          <w:bCs/>
          <w:sz w:val="24"/>
        </w:rPr>
        <w:t>8  合同份数</w:t>
      </w:r>
    </w:p>
    <w:p>
      <w:pPr>
        <w:overflowPunct w:val="0"/>
        <w:topLinePunct/>
        <w:spacing w:line="360" w:lineRule="auto"/>
        <w:ind w:firstLine="480" w:firstLineChars="200"/>
        <w:rPr>
          <w:rFonts w:ascii="新宋体" w:hAnsi="新宋体" w:eastAsia="新宋体" w:cs="仿宋_GB2312"/>
          <w:bCs/>
          <w:sz w:val="24"/>
        </w:rPr>
      </w:pPr>
      <w:r>
        <w:rPr>
          <w:rFonts w:hint="eastAsia" w:ascii="新宋体" w:hAnsi="新宋体" w:eastAsia="新宋体" w:cs="仿宋_GB2312"/>
          <w:bCs/>
          <w:sz w:val="24"/>
        </w:rPr>
        <w:t>本合同一式</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u w:val="single"/>
          <w:lang w:val="en-US" w:eastAsia="zh-CN"/>
        </w:rPr>
        <w:t>陆</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份，均具有同等法律效力，发包人执</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u w:val="single"/>
          <w:lang w:val="en-US" w:eastAsia="zh-CN"/>
        </w:rPr>
        <w:t>肆</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份，承包人执</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u w:val="single"/>
          <w:lang w:val="en-US" w:eastAsia="zh-CN"/>
        </w:rPr>
        <w:t>贰</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份。</w:t>
      </w:r>
    </w:p>
    <w:p>
      <w:pPr>
        <w:overflowPunct w:val="0"/>
        <w:topLinePunct/>
        <w:spacing w:line="360" w:lineRule="auto"/>
        <w:ind w:firstLine="560" w:firstLineChars="200"/>
        <w:rPr>
          <w:rFonts w:ascii="新宋体" w:hAnsi="新宋体" w:eastAsia="新宋体" w:cs="仿宋_GB2312"/>
          <w:kern w:val="0"/>
          <w:position w:val="-3"/>
          <w:sz w:val="28"/>
          <w:szCs w:val="28"/>
        </w:rPr>
      </w:pPr>
    </w:p>
    <w:p>
      <w:pPr>
        <w:overflowPunct w:val="0"/>
        <w:topLinePunct/>
        <w:spacing w:line="360" w:lineRule="auto"/>
        <w:ind w:firstLine="560" w:firstLineChars="200"/>
        <w:rPr>
          <w:rFonts w:ascii="新宋体" w:hAnsi="新宋体" w:eastAsia="新宋体" w:cs="仿宋_GB2312"/>
          <w:kern w:val="0"/>
          <w:position w:val="-3"/>
          <w:sz w:val="28"/>
          <w:szCs w:val="28"/>
        </w:rPr>
      </w:pPr>
    </w:p>
    <w:p>
      <w:pPr>
        <w:overflowPunct w:val="0"/>
        <w:topLinePunct/>
        <w:spacing w:line="360" w:lineRule="auto"/>
        <w:ind w:firstLine="560" w:firstLineChars="200"/>
        <w:rPr>
          <w:rFonts w:ascii="新宋体" w:hAnsi="新宋体" w:eastAsia="新宋体" w:cs="仿宋_GB2312"/>
          <w:kern w:val="0"/>
          <w:position w:val="-3"/>
          <w:sz w:val="28"/>
          <w:szCs w:val="28"/>
        </w:rPr>
      </w:pPr>
    </w:p>
    <w:p>
      <w:pPr>
        <w:overflowPunct w:val="0"/>
        <w:topLinePunct/>
        <w:spacing w:line="360" w:lineRule="auto"/>
        <w:ind w:firstLine="480" w:firstLineChars="200"/>
        <w:rPr>
          <w:rFonts w:ascii="新宋体" w:hAnsi="新宋体" w:eastAsia="新宋体" w:cs="仿宋_GB2312"/>
          <w:b/>
          <w:sz w:val="24"/>
        </w:rPr>
      </w:pPr>
      <w:r>
        <w:rPr>
          <w:rFonts w:hint="eastAsia" w:ascii="新宋体" w:hAnsi="新宋体" w:eastAsia="新宋体" w:cs="仿宋_GB2312"/>
          <w:kern w:val="0"/>
          <w:position w:val="-3"/>
          <w:sz w:val="24"/>
        </w:rPr>
        <w:t>发包人</w:t>
      </w:r>
      <w:r>
        <w:rPr>
          <w:rFonts w:hint="eastAsia" w:ascii="新宋体" w:hAnsi="新宋体" w:eastAsia="新宋体" w:cs="仿宋_GB2312"/>
          <w:spacing w:val="-120"/>
          <w:kern w:val="0"/>
          <w:position w:val="-3"/>
          <w:sz w:val="24"/>
        </w:rPr>
        <w:t>：</w:t>
      </w:r>
      <w:r>
        <w:rPr>
          <w:rFonts w:hint="eastAsia" w:ascii="新宋体" w:hAnsi="新宋体" w:eastAsia="新宋体" w:cs="仿宋_GB2312"/>
          <w:kern w:val="0"/>
          <w:position w:val="-3"/>
          <w:sz w:val="24"/>
        </w:rPr>
        <w:t xml:space="preserve"> </w:t>
      </w:r>
      <w:r>
        <w:rPr>
          <w:rFonts w:hint="eastAsia" w:ascii="新宋体" w:hAnsi="新宋体" w:eastAsia="新宋体" w:cs="仿宋_GB2312"/>
          <w:sz w:val="24"/>
          <w:u w:val="single"/>
        </w:rPr>
        <w:t>广东外语外贸大学</w:t>
      </w:r>
      <w:r>
        <w:rPr>
          <w:rFonts w:hint="eastAsia" w:ascii="新宋体" w:hAnsi="新宋体" w:eastAsia="新宋体" w:cs="仿宋_GB2312"/>
          <w:sz w:val="24"/>
        </w:rPr>
        <w:t xml:space="preserve"> </w:t>
      </w:r>
      <w:r>
        <w:rPr>
          <w:rFonts w:hint="eastAsia" w:ascii="新宋体" w:hAnsi="新宋体" w:eastAsia="新宋体" w:cs="仿宋_GB2312"/>
          <w:kern w:val="0"/>
          <w:position w:val="-3"/>
          <w:sz w:val="24"/>
        </w:rPr>
        <w:t xml:space="preserve">         </w:t>
      </w:r>
      <w:r>
        <w:rPr>
          <w:rFonts w:hint="eastAsia" w:ascii="新宋体" w:hAnsi="新宋体" w:eastAsia="新宋体" w:cs="仿宋_GB2312"/>
          <w:sz w:val="24"/>
        </w:rPr>
        <w:t>承包人：</w:t>
      </w:r>
      <w:r>
        <w:rPr>
          <w:rFonts w:hint="eastAsia" w:ascii="新宋体" w:hAnsi="新宋体" w:eastAsia="新宋体" w:cs="仿宋_GB2312"/>
          <w:sz w:val="24"/>
          <w:u w:val="single"/>
        </w:rPr>
        <w:t xml:space="preserve">                </w:t>
      </w:r>
      <w:r>
        <w:rPr>
          <w:rFonts w:hint="eastAsia" w:ascii="新宋体" w:hAnsi="新宋体" w:eastAsia="新宋体" w:cs="仿宋_GB2312"/>
          <w:sz w:val="24"/>
        </w:rPr>
        <w:t xml:space="preserve">                            </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position w:val="-3"/>
          <w:sz w:val="24"/>
        </w:rPr>
        <w:t>（公章）                        （公章）</w:t>
      </w:r>
    </w:p>
    <w:p>
      <w:pPr>
        <w:overflowPunct w:val="0"/>
        <w:topLinePunct/>
        <w:spacing w:line="360" w:lineRule="auto"/>
        <w:ind w:left="4399" w:leftChars="266" w:hanging="3840" w:hangingChars="1600"/>
        <w:rPr>
          <w:rFonts w:ascii="新宋体" w:hAnsi="新宋体" w:eastAsia="新宋体" w:cs="仿宋_GB2312"/>
          <w:sz w:val="24"/>
          <w:u w:val="single"/>
        </w:rPr>
      </w:pPr>
      <w:r>
        <w:rPr>
          <w:rFonts w:hint="eastAsia" w:ascii="新宋体" w:hAnsi="新宋体" w:eastAsia="新宋体" w:cs="仿宋_GB2312"/>
          <w:kern w:val="0"/>
          <w:sz w:val="24"/>
        </w:rPr>
        <w:t>地址：</w:t>
      </w:r>
      <w:r>
        <w:rPr>
          <w:rFonts w:hint="eastAsia" w:ascii="新宋体" w:hAnsi="新宋体" w:eastAsia="新宋体" w:cs="仿宋_GB2312"/>
          <w:sz w:val="24"/>
          <w:u w:val="single"/>
        </w:rPr>
        <w:t>广州市白云大道北2号</w:t>
      </w:r>
      <w:r>
        <w:rPr>
          <w:rFonts w:hint="eastAsia" w:ascii="新宋体" w:hAnsi="新宋体" w:eastAsia="新宋体" w:cs="仿宋_GB2312"/>
          <w:kern w:val="0"/>
          <w:sz w:val="24"/>
        </w:rPr>
        <w:t xml:space="preserve">     地址：</w:t>
      </w: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 xml:space="preserve">法定代表人：                   法定代表人： </w:t>
      </w:r>
    </w:p>
    <w:p>
      <w:pPr>
        <w:overflowPunct w:val="0"/>
        <w:topLinePunct/>
        <w:spacing w:line="360" w:lineRule="auto"/>
        <w:ind w:firstLine="480" w:firstLineChars="200"/>
        <w:rPr>
          <w:rFonts w:ascii="新宋体" w:hAnsi="新宋体" w:eastAsia="新宋体" w:cs="仿宋_GB2312"/>
          <w:kern w:val="0"/>
          <w:sz w:val="24"/>
        </w:rPr>
      </w:pP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kern w:val="0"/>
          <w:sz w:val="24"/>
        </w:rPr>
        <w:t xml:space="preserve">或委托代理人：                 或委托代理人： </w:t>
      </w:r>
    </w:p>
    <w:p>
      <w:pPr>
        <w:overflowPunct w:val="0"/>
        <w:topLinePunct/>
        <w:spacing w:line="360" w:lineRule="auto"/>
        <w:ind w:firstLine="480" w:firstLineChars="200"/>
        <w:rPr>
          <w:rFonts w:ascii="新宋体" w:hAnsi="新宋体" w:eastAsia="新宋体" w:cs="仿宋_GB2312"/>
          <w:kern w:val="0"/>
          <w:sz w:val="24"/>
        </w:rPr>
      </w:pPr>
    </w:p>
    <w:p>
      <w:pPr>
        <w:overflowPunct w:val="0"/>
        <w:topLinePunct/>
        <w:spacing w:line="360" w:lineRule="auto"/>
        <w:ind w:firstLine="480" w:firstLineChars="200"/>
        <w:rPr>
          <w:rFonts w:ascii="新宋体" w:hAnsi="新宋体" w:eastAsia="新宋体" w:cs="仿宋_GB2312"/>
          <w:kern w:val="0"/>
          <w:sz w:val="24"/>
        </w:rPr>
      </w:pPr>
      <w:r>
        <w:rPr>
          <w:rFonts w:hint="eastAsia" w:ascii="新宋体" w:hAnsi="新宋体" w:eastAsia="新宋体" w:cs="仿宋_GB2312"/>
          <w:bCs/>
          <w:sz w:val="24"/>
        </w:rPr>
        <w:t>签订时间：</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年</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月</w:t>
      </w:r>
      <w:r>
        <w:rPr>
          <w:rFonts w:hint="eastAsia" w:ascii="新宋体" w:hAnsi="新宋体" w:eastAsia="新宋体" w:cs="仿宋_GB2312"/>
          <w:bCs/>
          <w:sz w:val="24"/>
          <w:u w:val="single"/>
        </w:rPr>
        <w:t xml:space="preserve">    </w:t>
      </w:r>
      <w:r>
        <w:rPr>
          <w:rFonts w:hint="eastAsia" w:ascii="新宋体" w:hAnsi="新宋体" w:eastAsia="新宋体" w:cs="仿宋_GB2312"/>
          <w:bCs/>
          <w:sz w:val="24"/>
        </w:rPr>
        <w:t>日</w:t>
      </w:r>
    </w:p>
    <w:p>
      <w:pPr>
        <w:pStyle w:val="3"/>
        <w:keepLines w:val="0"/>
        <w:tabs>
          <w:tab w:val="left" w:pos="851"/>
        </w:tabs>
        <w:spacing w:after="120" w:line="360" w:lineRule="auto"/>
        <w:ind w:left="0" w:leftChars="0" w:firstLine="0" w:firstLineChars="0"/>
        <w:rPr>
          <w:rFonts w:ascii="新宋体" w:hAnsi="新宋体" w:eastAsia="新宋体"/>
          <w:sz w:val="24"/>
        </w:rPr>
      </w:pPr>
    </w:p>
    <w:p>
      <w:pPr>
        <w:pStyle w:val="3"/>
        <w:keepLines w:val="0"/>
        <w:tabs>
          <w:tab w:val="left" w:pos="851"/>
        </w:tabs>
        <w:spacing w:after="120" w:line="360" w:lineRule="auto"/>
        <w:ind w:left="0" w:leftChars="0" w:firstLine="100" w:firstLineChars="0"/>
        <w:rPr>
          <w:rFonts w:ascii="宋体" w:hAnsi="宋体"/>
          <w:szCs w:val="28"/>
          <w:lang w:val="en-GB"/>
        </w:rPr>
      </w:pPr>
      <w:r>
        <w:rPr>
          <w:rFonts w:ascii="宋体" w:hAnsi="宋体"/>
        </w:rPr>
        <w:br w:type="page"/>
      </w:r>
      <w:bookmarkStart w:id="493" w:name="_Toc136009919"/>
      <w:r>
        <w:rPr>
          <w:rFonts w:hint="eastAsia" w:ascii="宋体" w:hAnsi="宋体"/>
          <w:sz w:val="24"/>
        </w:rPr>
        <w:t>附件4 ：法定代表人证明书、法定代表人授权委托证明书、建造师简历表的格式样板</w:t>
      </w:r>
      <w:bookmarkEnd w:id="493"/>
    </w:p>
    <w:p/>
    <w:p>
      <w:pPr>
        <w:jc w:val="center"/>
        <w:rPr>
          <w:b/>
          <w:sz w:val="32"/>
        </w:rPr>
      </w:pPr>
      <w:bookmarkStart w:id="494" w:name="_附件5：项目技术要求"/>
      <w:bookmarkEnd w:id="494"/>
      <w:bookmarkStart w:id="495" w:name="_Toc180577760"/>
      <w:bookmarkStart w:id="496" w:name="_Toc338687103"/>
      <w:bookmarkStart w:id="497" w:name="_Toc190855349"/>
      <w:bookmarkStart w:id="498" w:name="_Toc339544899"/>
      <w:r>
        <w:rPr>
          <w:rFonts w:hint="eastAsia"/>
          <w:b/>
          <w:sz w:val="32"/>
        </w:rPr>
        <w:t>法定代表人证明书</w:t>
      </w:r>
      <w:bookmarkEnd w:id="495"/>
      <w:bookmarkEnd w:id="496"/>
      <w:bookmarkEnd w:id="497"/>
      <w:bookmarkEnd w:id="498"/>
    </w:p>
    <w:p>
      <w:pPr>
        <w:jc w:val="center"/>
      </w:pPr>
      <w: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133350</wp:posOffset>
                </wp:positionV>
                <wp:extent cx="5943600" cy="2736850"/>
                <wp:effectExtent l="5080" t="4445" r="13970" b="20955"/>
                <wp:wrapNone/>
                <wp:docPr id="1" name="文本框 2"/>
                <wp:cNvGraphicFramePr/>
                <a:graphic xmlns:a="http://schemas.openxmlformats.org/drawingml/2006/main">
                  <a:graphicData uri="http://schemas.microsoft.com/office/word/2010/wordprocessingShape">
                    <wps:wsp>
                      <wps:cNvSpPr txBox="1"/>
                      <wps:spPr>
                        <a:xfrm>
                          <a:off x="0" y="0"/>
                          <a:ext cx="5943600" cy="2736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rPr>
                                <w:sz w:val="28"/>
                              </w:rPr>
                            </w:pPr>
                            <w:r>
                              <w:rPr>
                                <w:rFonts w:hint="eastAsia"/>
                                <w:sz w:val="28"/>
                                <w:u w:val="single"/>
                              </w:rPr>
                              <w:t xml:space="preserve">                </w:t>
                            </w:r>
                            <w:r>
                              <w:rPr>
                                <w:rFonts w:hint="eastAsia"/>
                                <w:sz w:val="28"/>
                              </w:rPr>
                              <w:t>现任我单位</w:t>
                            </w:r>
                            <w:r>
                              <w:rPr>
                                <w:rFonts w:hint="eastAsia"/>
                                <w:sz w:val="28"/>
                                <w:u w:val="single"/>
                              </w:rPr>
                              <w:t xml:space="preserve">            </w:t>
                            </w:r>
                            <w:r>
                              <w:rPr>
                                <w:rFonts w:hint="eastAsia"/>
                                <w:sz w:val="28"/>
                              </w:rPr>
                              <w:t>职务，为法定代表人（负责人），</w:t>
                            </w:r>
                          </w:p>
                          <w:p>
                            <w:pPr>
                              <w:snapToGrid w:val="0"/>
                              <w:spacing w:line="480" w:lineRule="atLeast"/>
                              <w:rPr>
                                <w:sz w:val="28"/>
                              </w:rPr>
                            </w:pPr>
                            <w:r>
                              <w:rPr>
                                <w:rFonts w:hint="eastAsia"/>
                                <w:sz w:val="28"/>
                              </w:rPr>
                              <w:t>特此证明。</w:t>
                            </w:r>
                          </w:p>
                          <w:p>
                            <w:pPr>
                              <w:snapToGrid w:val="0"/>
                              <w:spacing w:line="480" w:lineRule="atLeast"/>
                              <w:rPr>
                                <w:sz w:val="28"/>
                                <w:u w:val="single"/>
                              </w:rPr>
                            </w:pPr>
                            <w:r>
                              <w:rPr>
                                <w:rFonts w:hint="eastAsia"/>
                                <w:sz w:val="28"/>
                              </w:rPr>
                              <w:t>有效期限：</w:t>
                            </w:r>
                            <w:r>
                              <w:rPr>
                                <w:rFonts w:hint="eastAsia"/>
                                <w:sz w:val="28"/>
                                <w:u w:val="single"/>
                              </w:rPr>
                              <w:t xml:space="preserve">                                </w:t>
                            </w:r>
                            <w:r>
                              <w:rPr>
                                <w:rFonts w:hint="eastAsia"/>
                                <w:sz w:val="28"/>
                              </w:rPr>
                              <w:t xml:space="preserve">  </w:t>
                            </w:r>
                          </w:p>
                          <w:p>
                            <w:pPr>
                              <w:snapToGrid w:val="0"/>
                              <w:spacing w:line="480" w:lineRule="atLeast"/>
                              <w:rPr>
                                <w:sz w:val="28"/>
                                <w:u w:val="single"/>
                              </w:rPr>
                            </w:pPr>
                            <w:r>
                              <w:rPr>
                                <w:rFonts w:hint="eastAsia"/>
                                <w:sz w:val="28"/>
                              </w:rPr>
                              <w:t>附：法定代表人（负责人）性别：</w:t>
                            </w:r>
                            <w:r>
                              <w:rPr>
                                <w:rFonts w:hint="eastAsia"/>
                                <w:sz w:val="28"/>
                                <w:u w:val="single"/>
                              </w:rPr>
                              <w:t xml:space="preserve">    </w:t>
                            </w:r>
                            <w:r>
                              <w:rPr>
                                <w:rFonts w:hint="eastAsia"/>
                                <w:sz w:val="28"/>
                              </w:rPr>
                              <w:t>年龄：</w:t>
                            </w:r>
                            <w:r>
                              <w:rPr>
                                <w:rFonts w:hint="eastAsia"/>
                                <w:sz w:val="28"/>
                                <w:u w:val="single"/>
                              </w:rPr>
                              <w:t xml:space="preserve">   </w:t>
                            </w:r>
                            <w:r>
                              <w:rPr>
                                <w:rFonts w:hint="eastAsia"/>
                                <w:sz w:val="28"/>
                              </w:rPr>
                              <w:t>身份证号码：</w:t>
                            </w:r>
                            <w:r>
                              <w:rPr>
                                <w:rFonts w:hint="eastAsia"/>
                                <w:sz w:val="28"/>
                                <w:u w:val="single"/>
                              </w:rPr>
                              <w:t xml:space="preserve">         </w:t>
                            </w:r>
                          </w:p>
                          <w:p>
                            <w:pPr>
                              <w:snapToGrid w:val="0"/>
                              <w:spacing w:line="480" w:lineRule="atLeast"/>
                              <w:ind w:firstLine="570"/>
                              <w:rPr>
                                <w:sz w:val="28"/>
                                <w:u w:val="single"/>
                              </w:rPr>
                            </w:pPr>
                            <w:r>
                              <w:rPr>
                                <w:rFonts w:hint="eastAsia"/>
                                <w:sz w:val="28"/>
                              </w:rPr>
                              <w:t>注册号码：</w:t>
                            </w:r>
                            <w:r>
                              <w:rPr>
                                <w:rFonts w:hint="eastAsia"/>
                                <w:sz w:val="28"/>
                                <w:u w:val="single"/>
                              </w:rPr>
                              <w:t xml:space="preserve">                     </w:t>
                            </w:r>
                            <w:r>
                              <w:rPr>
                                <w:rFonts w:hint="eastAsia"/>
                                <w:sz w:val="28"/>
                              </w:rPr>
                              <w:t>企业类型：</w:t>
                            </w:r>
                            <w:r>
                              <w:rPr>
                                <w:rFonts w:hint="eastAsia"/>
                                <w:sz w:val="28"/>
                                <w:u w:val="single"/>
                              </w:rPr>
                              <w:t xml:space="preserve">                   </w:t>
                            </w:r>
                          </w:p>
                          <w:p>
                            <w:pPr>
                              <w:snapToGrid w:val="0"/>
                              <w:spacing w:line="480" w:lineRule="atLeast"/>
                              <w:ind w:firstLine="570"/>
                              <w:rPr>
                                <w:sz w:val="28"/>
                                <w:u w:val="single"/>
                              </w:rPr>
                            </w:pPr>
                            <w:r>
                              <w:rPr>
                                <w:rFonts w:hint="eastAsia"/>
                                <w:sz w:val="28"/>
                              </w:rPr>
                              <w:t>经营范围：</w:t>
                            </w:r>
                            <w:r>
                              <w:rPr>
                                <w:rFonts w:hint="eastAsia"/>
                                <w:sz w:val="28"/>
                                <w:u w:val="single"/>
                              </w:rPr>
                              <w:t xml:space="preserve">                       </w:t>
                            </w:r>
                          </w:p>
                          <w:p>
                            <w:pPr>
                              <w:snapToGrid w:val="0"/>
                              <w:spacing w:line="480" w:lineRule="atLeast"/>
                              <w:ind w:firstLine="570"/>
                              <w:rPr>
                                <w:sz w:val="28"/>
                              </w:rPr>
                            </w:pPr>
                            <w:r>
                              <w:rPr>
                                <w:rFonts w:hint="eastAsia"/>
                                <w:sz w:val="28"/>
                                <w:u w:val="single"/>
                              </w:rPr>
                              <w:t xml:space="preserve">                               </w:t>
                            </w:r>
                            <w:r>
                              <w:rPr>
                                <w:rFonts w:hint="eastAsia"/>
                                <w:sz w:val="28"/>
                              </w:rPr>
                              <w:t>单位：            （盖章）</w:t>
                            </w:r>
                          </w:p>
                          <w:p>
                            <w:pPr>
                              <w:snapToGrid w:val="0"/>
                              <w:spacing w:line="480" w:lineRule="atLeast"/>
                              <w:ind w:firstLine="570"/>
                            </w:pPr>
                            <w:r>
                              <w:rPr>
                                <w:rFonts w:hint="eastAsia"/>
                                <w:sz w:val="28"/>
                                <w:u w:val="single"/>
                              </w:rPr>
                              <w:t xml:space="preserve">                                  </w:t>
                            </w:r>
                            <w:r>
                              <w:rPr>
                                <w:rFonts w:hint="eastAsia"/>
                                <w:sz w:val="28"/>
                              </w:rPr>
                              <w:t xml:space="preserve">           年   月   日</w:t>
                            </w:r>
                          </w:p>
                        </w:txbxContent>
                      </wps:txbx>
                      <wps:bodyPr upright="1"/>
                    </wps:wsp>
                  </a:graphicData>
                </a:graphic>
              </wp:anchor>
            </w:drawing>
          </mc:Choice>
          <mc:Fallback>
            <w:pict>
              <v:shape id="文本框 2" o:spid="_x0000_s1026" o:spt="202" type="#_x0000_t202" style="position:absolute;left:0pt;margin-left:0.9pt;margin-top:10.5pt;height:215.5pt;width:468pt;z-index:251659264;mso-width-relative:page;mso-height-relative:page;" fillcolor="#FFFFFF" filled="t" stroked="t" coordsize="21600,21600" o:allowincell="f" o:gfxdata="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1Y4iP1wAAAAgBAAAPAAAAAAAAAAEAIAAA&#10;ACIAAABkcnMvZG93bnJldi54bWxQSwECFAAUAAAACACHTuJAVk7MoA0CAAA3BAAADgAAAAAAAAAB&#10;ACAAAAAmAQAAZHJzL2Uyb0RvYy54bWxQSwUGAAAAAAYABgBZAQAApQUAAAAA&#10;">
                <v:fill on="t" focussize="0,0"/>
                <v:stroke color="#000000" joinstyle="miter"/>
                <v:imagedata o:title=""/>
                <o:lock v:ext="edit" aspectratio="f"/>
                <v:textbox>
                  <w:txbxContent>
                    <w:p>
                      <w:pPr>
                        <w:spacing w:before="120"/>
                        <w:rPr>
                          <w:sz w:val="28"/>
                        </w:rPr>
                      </w:pPr>
                      <w:r>
                        <w:rPr>
                          <w:rFonts w:hint="eastAsia"/>
                          <w:sz w:val="28"/>
                          <w:u w:val="single"/>
                        </w:rPr>
                        <w:t xml:space="preserve">                </w:t>
                      </w:r>
                      <w:r>
                        <w:rPr>
                          <w:rFonts w:hint="eastAsia"/>
                          <w:sz w:val="28"/>
                        </w:rPr>
                        <w:t>现任我单位</w:t>
                      </w:r>
                      <w:r>
                        <w:rPr>
                          <w:rFonts w:hint="eastAsia"/>
                          <w:sz w:val="28"/>
                          <w:u w:val="single"/>
                        </w:rPr>
                        <w:t xml:space="preserve">            </w:t>
                      </w:r>
                      <w:r>
                        <w:rPr>
                          <w:rFonts w:hint="eastAsia"/>
                          <w:sz w:val="28"/>
                        </w:rPr>
                        <w:t>职务，为法定代表人（负责人），</w:t>
                      </w:r>
                    </w:p>
                    <w:p>
                      <w:pPr>
                        <w:snapToGrid w:val="0"/>
                        <w:spacing w:line="480" w:lineRule="atLeast"/>
                        <w:rPr>
                          <w:sz w:val="28"/>
                        </w:rPr>
                      </w:pPr>
                      <w:r>
                        <w:rPr>
                          <w:rFonts w:hint="eastAsia"/>
                          <w:sz w:val="28"/>
                        </w:rPr>
                        <w:t>特此证明。</w:t>
                      </w:r>
                    </w:p>
                    <w:p>
                      <w:pPr>
                        <w:snapToGrid w:val="0"/>
                        <w:spacing w:line="480" w:lineRule="atLeast"/>
                        <w:rPr>
                          <w:sz w:val="28"/>
                          <w:u w:val="single"/>
                        </w:rPr>
                      </w:pPr>
                      <w:r>
                        <w:rPr>
                          <w:rFonts w:hint="eastAsia"/>
                          <w:sz w:val="28"/>
                        </w:rPr>
                        <w:t>有效期限：</w:t>
                      </w:r>
                      <w:r>
                        <w:rPr>
                          <w:rFonts w:hint="eastAsia"/>
                          <w:sz w:val="28"/>
                          <w:u w:val="single"/>
                        </w:rPr>
                        <w:t xml:space="preserve">                                </w:t>
                      </w:r>
                      <w:r>
                        <w:rPr>
                          <w:rFonts w:hint="eastAsia"/>
                          <w:sz w:val="28"/>
                        </w:rPr>
                        <w:t xml:space="preserve">  </w:t>
                      </w:r>
                    </w:p>
                    <w:p>
                      <w:pPr>
                        <w:snapToGrid w:val="0"/>
                        <w:spacing w:line="480" w:lineRule="atLeast"/>
                        <w:rPr>
                          <w:sz w:val="28"/>
                          <w:u w:val="single"/>
                        </w:rPr>
                      </w:pPr>
                      <w:r>
                        <w:rPr>
                          <w:rFonts w:hint="eastAsia"/>
                          <w:sz w:val="28"/>
                        </w:rPr>
                        <w:t>附：法定代表人（负责人）性别：</w:t>
                      </w:r>
                      <w:r>
                        <w:rPr>
                          <w:rFonts w:hint="eastAsia"/>
                          <w:sz w:val="28"/>
                          <w:u w:val="single"/>
                        </w:rPr>
                        <w:t xml:space="preserve">    </w:t>
                      </w:r>
                      <w:r>
                        <w:rPr>
                          <w:rFonts w:hint="eastAsia"/>
                          <w:sz w:val="28"/>
                        </w:rPr>
                        <w:t>年龄：</w:t>
                      </w:r>
                      <w:r>
                        <w:rPr>
                          <w:rFonts w:hint="eastAsia"/>
                          <w:sz w:val="28"/>
                          <w:u w:val="single"/>
                        </w:rPr>
                        <w:t xml:space="preserve">   </w:t>
                      </w:r>
                      <w:r>
                        <w:rPr>
                          <w:rFonts w:hint="eastAsia"/>
                          <w:sz w:val="28"/>
                        </w:rPr>
                        <w:t>身份证号码：</w:t>
                      </w:r>
                      <w:r>
                        <w:rPr>
                          <w:rFonts w:hint="eastAsia"/>
                          <w:sz w:val="28"/>
                          <w:u w:val="single"/>
                        </w:rPr>
                        <w:t xml:space="preserve">         </w:t>
                      </w:r>
                    </w:p>
                    <w:p>
                      <w:pPr>
                        <w:snapToGrid w:val="0"/>
                        <w:spacing w:line="480" w:lineRule="atLeast"/>
                        <w:ind w:firstLine="570"/>
                        <w:rPr>
                          <w:sz w:val="28"/>
                          <w:u w:val="single"/>
                        </w:rPr>
                      </w:pPr>
                      <w:r>
                        <w:rPr>
                          <w:rFonts w:hint="eastAsia"/>
                          <w:sz w:val="28"/>
                        </w:rPr>
                        <w:t>注册号码：</w:t>
                      </w:r>
                      <w:r>
                        <w:rPr>
                          <w:rFonts w:hint="eastAsia"/>
                          <w:sz w:val="28"/>
                          <w:u w:val="single"/>
                        </w:rPr>
                        <w:t xml:space="preserve">                     </w:t>
                      </w:r>
                      <w:r>
                        <w:rPr>
                          <w:rFonts w:hint="eastAsia"/>
                          <w:sz w:val="28"/>
                        </w:rPr>
                        <w:t>企业类型：</w:t>
                      </w:r>
                      <w:r>
                        <w:rPr>
                          <w:rFonts w:hint="eastAsia"/>
                          <w:sz w:val="28"/>
                          <w:u w:val="single"/>
                        </w:rPr>
                        <w:t xml:space="preserve">                   </w:t>
                      </w:r>
                    </w:p>
                    <w:p>
                      <w:pPr>
                        <w:snapToGrid w:val="0"/>
                        <w:spacing w:line="480" w:lineRule="atLeast"/>
                        <w:ind w:firstLine="570"/>
                        <w:rPr>
                          <w:sz w:val="28"/>
                          <w:u w:val="single"/>
                        </w:rPr>
                      </w:pPr>
                      <w:r>
                        <w:rPr>
                          <w:rFonts w:hint="eastAsia"/>
                          <w:sz w:val="28"/>
                        </w:rPr>
                        <w:t>经营范围：</w:t>
                      </w:r>
                      <w:r>
                        <w:rPr>
                          <w:rFonts w:hint="eastAsia"/>
                          <w:sz w:val="28"/>
                          <w:u w:val="single"/>
                        </w:rPr>
                        <w:t xml:space="preserve">                       </w:t>
                      </w:r>
                    </w:p>
                    <w:p>
                      <w:pPr>
                        <w:snapToGrid w:val="0"/>
                        <w:spacing w:line="480" w:lineRule="atLeast"/>
                        <w:ind w:firstLine="570"/>
                        <w:rPr>
                          <w:sz w:val="28"/>
                        </w:rPr>
                      </w:pPr>
                      <w:r>
                        <w:rPr>
                          <w:rFonts w:hint="eastAsia"/>
                          <w:sz w:val="28"/>
                          <w:u w:val="single"/>
                        </w:rPr>
                        <w:t xml:space="preserve">                               </w:t>
                      </w:r>
                      <w:r>
                        <w:rPr>
                          <w:rFonts w:hint="eastAsia"/>
                          <w:sz w:val="28"/>
                        </w:rPr>
                        <w:t>单位：            （盖章）</w:t>
                      </w:r>
                    </w:p>
                    <w:p>
                      <w:pPr>
                        <w:snapToGrid w:val="0"/>
                        <w:spacing w:line="480" w:lineRule="atLeast"/>
                        <w:ind w:firstLine="570"/>
                      </w:pPr>
                      <w:r>
                        <w:rPr>
                          <w:rFonts w:hint="eastAsia"/>
                          <w:sz w:val="28"/>
                          <w:u w:val="single"/>
                        </w:rPr>
                        <w:t xml:space="preserve">                                  </w:t>
                      </w:r>
                      <w:r>
                        <w:rPr>
                          <w:rFonts w:hint="eastAsia"/>
                          <w:sz w:val="28"/>
                        </w:rPr>
                        <w:t xml:space="preserve">           年   月   日</w:t>
                      </w:r>
                    </w:p>
                  </w:txbxContent>
                </v:textbox>
              </v:shape>
            </w:pict>
          </mc:Fallback>
        </mc:AlternateContent>
      </w:r>
    </w:p>
    <w:p>
      <w:pPr>
        <w:wordWrap w:val="0"/>
        <w:jc w:val="right"/>
      </w:pPr>
      <w:bookmarkStart w:id="499" w:name="_Toc338687104"/>
      <w:bookmarkStart w:id="500" w:name="_Toc339544900"/>
      <w:bookmarkStart w:id="501" w:name="_Toc190855350"/>
      <w:r>
        <w:rPr>
          <w:rFonts w:hint="eastAsia"/>
          <w:b/>
          <w:sz w:val="28"/>
        </w:rPr>
        <w:t>（　 ）第　号</w:t>
      </w:r>
      <w:bookmarkEnd w:id="499"/>
      <w:bookmarkEnd w:id="500"/>
      <w:bookmarkEnd w:id="501"/>
      <w:r>
        <w:rPr>
          <w:rFonts w:hint="eastAsia"/>
          <w:b/>
          <w:sz w:val="28"/>
        </w:rPr>
        <w:t xml:space="preserve"> </w:t>
      </w:r>
      <w:r>
        <w:rPr>
          <w:b/>
          <w:sz w:val="28"/>
        </w:rPr>
        <w:t xml:space="preserve">   </w:t>
      </w:r>
      <w:r>
        <w:t xml:space="preserve"> </w:t>
      </w:r>
    </w:p>
    <w:p/>
    <w:p/>
    <w:p/>
    <w:p/>
    <w:p/>
    <w:p/>
    <w:p/>
    <w:p/>
    <w:p/>
    <w:p/>
    <w:p/>
    <w:p/>
    <w:p/>
    <w:p/>
    <w:p/>
    <w:p/>
    <w:p/>
    <w:p>
      <w:bookmarkStart w:id="502" w:name="_Toc190855352"/>
    </w:p>
    <w:p>
      <w:pPr>
        <w:jc w:val="center"/>
        <w:rPr>
          <w:b/>
          <w:sz w:val="32"/>
        </w:rPr>
      </w:pPr>
      <w:bookmarkStart w:id="503" w:name="_Toc339544901"/>
      <w:bookmarkStart w:id="504" w:name="_Toc338687105"/>
      <w:r>
        <w:rPr>
          <w:rFonts w:hint="eastAsia"/>
          <w:b/>
          <w:sz w:val="32"/>
        </w:rPr>
        <w:t>法定代表人授权委托证明书</w:t>
      </w:r>
      <w:bookmarkEnd w:id="502"/>
      <w:bookmarkEnd w:id="503"/>
      <w:bookmarkEnd w:id="504"/>
    </w:p>
    <w:p>
      <w:pPr>
        <w:wordWrap w:val="0"/>
        <w:jc w:val="right"/>
        <w:rPr>
          <w:b/>
          <w:sz w:val="28"/>
        </w:rPr>
      </w:pPr>
      <w:bookmarkStart w:id="505" w:name="_Toc190855353"/>
      <w:bookmarkStart w:id="506" w:name="_Toc339544902"/>
      <w:bookmarkStart w:id="507" w:name="_Toc338687106"/>
      <w:r>
        <w:rPr>
          <w:rFonts w:hint="eastAsia"/>
          <w:b/>
          <w:sz w:val="28"/>
        </w:rPr>
        <w:t>（　 ）第　号</w:t>
      </w:r>
      <w:bookmarkEnd w:id="505"/>
      <w:bookmarkEnd w:id="506"/>
      <w:bookmarkEnd w:id="507"/>
      <w:r>
        <w:rPr>
          <w:rFonts w:hint="eastAsia"/>
          <w:b/>
          <w:sz w:val="28"/>
        </w:rPr>
        <w:t xml:space="preserve"> </w:t>
      </w:r>
      <w:r>
        <w:rPr>
          <w:b/>
          <w:sz w:val="28"/>
        </w:rPr>
        <w:t xml:space="preserve">    </w:t>
      </w:r>
    </w:p>
    <w:p>
      <w:r>
        <mc:AlternateContent>
          <mc:Choice Requires="wps">
            <w:drawing>
              <wp:anchor distT="0" distB="0" distL="114300" distR="114300" simplePos="0" relativeHeight="251660288" behindDoc="0" locked="0" layoutInCell="0" allowOverlap="1">
                <wp:simplePos x="0" y="0"/>
                <wp:positionH relativeFrom="column">
                  <wp:posOffset>19050</wp:posOffset>
                </wp:positionH>
                <wp:positionV relativeFrom="paragraph">
                  <wp:posOffset>22225</wp:posOffset>
                </wp:positionV>
                <wp:extent cx="5955030" cy="3078480"/>
                <wp:effectExtent l="4445" t="4445" r="22225" b="22225"/>
                <wp:wrapNone/>
                <wp:docPr id="2" name="文本框 3"/>
                <wp:cNvGraphicFramePr/>
                <a:graphic xmlns:a="http://schemas.openxmlformats.org/drawingml/2006/main">
                  <a:graphicData uri="http://schemas.microsoft.com/office/word/2010/wordprocessingShape">
                    <wps:wsp>
                      <wps:cNvSpPr txBox="1"/>
                      <wps:spPr>
                        <a:xfrm>
                          <a:off x="0" y="0"/>
                          <a:ext cx="5955030" cy="3078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ind w:firstLine="560"/>
                              <w:rPr>
                                <w:sz w:val="28"/>
                              </w:rPr>
                            </w:pPr>
                            <w:r>
                              <w:rPr>
                                <w:rFonts w:hint="eastAsia"/>
                                <w:sz w:val="28"/>
                              </w:rPr>
                              <w:t>兹授权</w:t>
                            </w:r>
                            <w:r>
                              <w:rPr>
                                <w:sz w:val="28"/>
                                <w:u w:val="single"/>
                              </w:rPr>
                              <w:t xml:space="preserve">                </w:t>
                            </w:r>
                            <w:r>
                              <w:rPr>
                                <w:rFonts w:hint="eastAsia"/>
                                <w:sz w:val="28"/>
                              </w:rPr>
                              <w:t>为我方委托代理人，其权限是：</w:t>
                            </w:r>
                            <w:r>
                              <w:rPr>
                                <w:sz w:val="28"/>
                                <w:u w:val="single"/>
                              </w:rPr>
                              <w:t xml:space="preserve">          </w:t>
                            </w:r>
                          </w:p>
                          <w:p>
                            <w:pPr>
                              <w:snapToGrid w:val="0"/>
                              <w:spacing w:line="480" w:lineRule="atLeast"/>
                              <w:rPr>
                                <w:sz w:val="28"/>
                                <w:u w:val="single"/>
                              </w:rPr>
                            </w:pPr>
                            <w:r>
                              <w:rPr>
                                <w:sz w:val="28"/>
                                <w:u w:val="single"/>
                              </w:rPr>
                              <w:t xml:space="preserve">                                                                </w:t>
                            </w:r>
                          </w:p>
                          <w:p>
                            <w:pPr>
                              <w:snapToGrid w:val="0"/>
                              <w:spacing w:line="480" w:lineRule="atLeast"/>
                              <w:rPr>
                                <w:sz w:val="28"/>
                                <w:u w:val="single"/>
                              </w:rPr>
                            </w:pPr>
                            <w:r>
                              <w:rPr>
                                <w:rFonts w:hint="eastAsia"/>
                                <w:sz w:val="28"/>
                              </w:rPr>
                              <w:t>有效期限：</w:t>
                            </w:r>
                            <w:r>
                              <w:rPr>
                                <w:sz w:val="28"/>
                                <w:u w:val="single"/>
                              </w:rPr>
                              <w:t xml:space="preserve">                                                      </w:t>
                            </w:r>
                          </w:p>
                          <w:p>
                            <w:pPr>
                              <w:snapToGrid w:val="0"/>
                              <w:spacing w:line="480" w:lineRule="atLeast"/>
                              <w:rPr>
                                <w:sz w:val="28"/>
                              </w:rPr>
                            </w:pPr>
                            <w:r>
                              <w:rPr>
                                <w:rFonts w:hint="eastAsia"/>
                                <w:sz w:val="28"/>
                              </w:rPr>
                              <w:t>附：代理人性别：</w:t>
                            </w:r>
                            <w:r>
                              <w:rPr>
                                <w:sz w:val="28"/>
                                <w:u w:val="single"/>
                              </w:rPr>
                              <w:t xml:space="preserve">     </w:t>
                            </w:r>
                            <w:r>
                              <w:rPr>
                                <w:rFonts w:hint="eastAsia"/>
                                <w:sz w:val="28"/>
                              </w:rPr>
                              <w:t>年龄：</w:t>
                            </w:r>
                            <w:r>
                              <w:rPr>
                                <w:sz w:val="28"/>
                                <w:u w:val="single"/>
                              </w:rPr>
                              <w:t xml:space="preserve">     </w:t>
                            </w:r>
                            <w:r>
                              <w:rPr>
                                <w:rFonts w:hint="eastAsia"/>
                                <w:sz w:val="28"/>
                              </w:rPr>
                              <w:t>身份证号码：</w:t>
                            </w:r>
                            <w:r>
                              <w:rPr>
                                <w:sz w:val="28"/>
                                <w:u w:val="single"/>
                              </w:rPr>
                              <w:t xml:space="preserve">                    </w:t>
                            </w:r>
                          </w:p>
                          <w:p>
                            <w:pPr>
                              <w:snapToGrid w:val="0"/>
                              <w:spacing w:line="480" w:lineRule="atLeast"/>
                              <w:ind w:firstLine="560"/>
                              <w:rPr>
                                <w:sz w:val="28"/>
                                <w:u w:val="single"/>
                              </w:rPr>
                            </w:pPr>
                            <w:r>
                              <w:rPr>
                                <w:rFonts w:hint="eastAsia"/>
                                <w:sz w:val="28"/>
                              </w:rPr>
                              <w:t>注册号码：</w:t>
                            </w:r>
                            <w:r>
                              <w:rPr>
                                <w:sz w:val="28"/>
                                <w:u w:val="single"/>
                              </w:rPr>
                              <w:t xml:space="preserve">                  </w:t>
                            </w:r>
                            <w:r>
                              <w:rPr>
                                <w:rFonts w:hint="eastAsia"/>
                                <w:sz w:val="28"/>
                              </w:rPr>
                              <w:t>企业类型：</w:t>
                            </w:r>
                            <w:r>
                              <w:rPr>
                                <w:sz w:val="28"/>
                                <w:u w:val="single"/>
                              </w:rPr>
                              <w:t xml:space="preserve">                      </w:t>
                            </w:r>
                          </w:p>
                          <w:p>
                            <w:pPr>
                              <w:snapToGrid w:val="0"/>
                              <w:spacing w:line="480" w:lineRule="atLeast"/>
                              <w:ind w:firstLine="560"/>
                              <w:rPr>
                                <w:sz w:val="28"/>
                                <w:u w:val="single"/>
                              </w:rPr>
                            </w:pPr>
                            <w:r>
                              <w:rPr>
                                <w:rFonts w:hint="eastAsia"/>
                                <w:sz w:val="28"/>
                              </w:rPr>
                              <w:t>经营范围：</w:t>
                            </w:r>
                            <w:r>
                              <w:rPr>
                                <w:sz w:val="28"/>
                                <w:u w:val="single"/>
                              </w:rPr>
                              <w:t xml:space="preserve">                                                  </w:t>
                            </w:r>
                          </w:p>
                          <w:p>
                            <w:pPr>
                              <w:snapToGrid w:val="0"/>
                              <w:spacing w:line="480" w:lineRule="atLeast"/>
                              <w:ind w:firstLine="560"/>
                              <w:rPr>
                                <w:sz w:val="28"/>
                              </w:rPr>
                            </w:pPr>
                            <w:r>
                              <w:rPr>
                                <w:rFonts w:hint="eastAsia"/>
                                <w:sz w:val="28"/>
                              </w:rPr>
                              <w:t>法定代表人（负责人）：</w:t>
                            </w:r>
                            <w:r>
                              <w:rPr>
                                <w:sz w:val="28"/>
                                <w:u w:val="single"/>
                              </w:rPr>
                              <w:t xml:space="preserve">                 </w:t>
                            </w:r>
                            <w:r>
                              <w:rPr>
                                <w:rFonts w:hint="eastAsia"/>
                                <w:sz w:val="28"/>
                              </w:rPr>
                              <w:t>（签名）</w:t>
                            </w:r>
                          </w:p>
                          <w:p>
                            <w:pPr>
                              <w:snapToGrid w:val="0"/>
                              <w:spacing w:line="480" w:lineRule="atLeast"/>
                              <w:ind w:firstLine="560"/>
                              <w:rPr>
                                <w:sz w:val="28"/>
                              </w:rPr>
                            </w:pPr>
                            <w:r>
                              <w:rPr>
                                <w:rFonts w:hint="eastAsia"/>
                                <w:sz w:val="28"/>
                              </w:rPr>
                              <w:t>授权单位：（盖章）</w:t>
                            </w:r>
                            <w:r>
                              <w:rPr>
                                <w:sz w:val="28"/>
                                <w:u w:val="single"/>
                              </w:rPr>
                              <w:t xml:space="preserve">                     </w:t>
                            </w:r>
                            <w:r>
                              <w:rPr>
                                <w:sz w:val="28"/>
                              </w:rPr>
                              <w:t xml:space="preserve"> </w:t>
                            </w:r>
                          </w:p>
                          <w:p>
                            <w:pPr>
                              <w:snapToGrid w:val="0"/>
                              <w:spacing w:line="480" w:lineRule="atLeast"/>
                              <w:ind w:firstLine="560"/>
                            </w:pPr>
                            <w:r>
                              <w:rPr>
                                <w:rFonts w:hint="eastAsia"/>
                                <w:sz w:val="28"/>
                                <w:u w:val="single"/>
                              </w:rPr>
                              <w:t xml:space="preserve">                                  </w:t>
                            </w:r>
                            <w:r>
                              <w:rPr>
                                <w:rFonts w:hint="eastAsia"/>
                                <w:sz w:val="28"/>
                              </w:rPr>
                              <w:t xml:space="preserve">            年</w:t>
                            </w:r>
                            <w:r>
                              <w:rPr>
                                <w:sz w:val="28"/>
                              </w:rPr>
                              <w:t xml:space="preserve">  </w:t>
                            </w:r>
                            <w:r>
                              <w:rPr>
                                <w:rFonts w:hint="eastAsia"/>
                                <w:sz w:val="28"/>
                              </w:rPr>
                              <w:t>月</w:t>
                            </w:r>
                            <w:r>
                              <w:rPr>
                                <w:sz w:val="28"/>
                              </w:rPr>
                              <w:t xml:space="preserve">   </w:t>
                            </w:r>
                            <w:r>
                              <w:rPr>
                                <w:rFonts w:hint="eastAsia"/>
                                <w:sz w:val="28"/>
                              </w:rPr>
                              <w:t>日</w:t>
                            </w:r>
                          </w:p>
                        </w:txbxContent>
                      </wps:txbx>
                      <wps:bodyPr upright="1"/>
                    </wps:wsp>
                  </a:graphicData>
                </a:graphic>
              </wp:anchor>
            </w:drawing>
          </mc:Choice>
          <mc:Fallback>
            <w:pict>
              <v:shape id="文本框 3" o:spid="_x0000_s1026" o:spt="202" type="#_x0000_t202" style="position:absolute;left:0pt;margin-left:1.5pt;margin-top:1.75pt;height:242.4pt;width:468.9pt;z-index:251660288;mso-width-relative:page;mso-height-relative:page;" fillcolor="#FFFFFF" filled="t" stroked="t" coordsize="21600,21600" o:allowincell="f" o:gfxdata="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oH1ydcAAAAHAQAADwAAAAAAAAABACAA&#10;AAAiAAAAZHJzL2Rvd25yZXYueG1sUEsBAhQAFAAAAAgAh07iQCDzpgwOAgAANwQAAA4AAAAAAAAA&#10;AQAgAAAAJgEAAGRycy9lMm9Eb2MueG1sUEsFBgAAAAAGAAYAWQEAAKYFAAAAAA==&#10;">
                <v:fill on="t" focussize="0,0"/>
                <v:stroke color="#000000" joinstyle="miter"/>
                <v:imagedata o:title=""/>
                <o:lock v:ext="edit" aspectratio="f"/>
                <v:textbox>
                  <w:txbxContent>
                    <w:p>
                      <w:pPr>
                        <w:spacing w:before="120"/>
                        <w:ind w:firstLine="560"/>
                        <w:rPr>
                          <w:sz w:val="28"/>
                        </w:rPr>
                      </w:pPr>
                      <w:r>
                        <w:rPr>
                          <w:rFonts w:hint="eastAsia"/>
                          <w:sz w:val="28"/>
                        </w:rPr>
                        <w:t>兹授权</w:t>
                      </w:r>
                      <w:r>
                        <w:rPr>
                          <w:sz w:val="28"/>
                          <w:u w:val="single"/>
                        </w:rPr>
                        <w:t xml:space="preserve">                </w:t>
                      </w:r>
                      <w:r>
                        <w:rPr>
                          <w:rFonts w:hint="eastAsia"/>
                          <w:sz w:val="28"/>
                        </w:rPr>
                        <w:t>为我方委托代理人，其权限是：</w:t>
                      </w:r>
                      <w:r>
                        <w:rPr>
                          <w:sz w:val="28"/>
                          <w:u w:val="single"/>
                        </w:rPr>
                        <w:t xml:space="preserve">          </w:t>
                      </w:r>
                    </w:p>
                    <w:p>
                      <w:pPr>
                        <w:snapToGrid w:val="0"/>
                        <w:spacing w:line="480" w:lineRule="atLeast"/>
                        <w:rPr>
                          <w:sz w:val="28"/>
                          <w:u w:val="single"/>
                        </w:rPr>
                      </w:pPr>
                      <w:r>
                        <w:rPr>
                          <w:sz w:val="28"/>
                          <w:u w:val="single"/>
                        </w:rPr>
                        <w:t xml:space="preserve">                                                                </w:t>
                      </w:r>
                    </w:p>
                    <w:p>
                      <w:pPr>
                        <w:snapToGrid w:val="0"/>
                        <w:spacing w:line="480" w:lineRule="atLeast"/>
                        <w:rPr>
                          <w:sz w:val="28"/>
                          <w:u w:val="single"/>
                        </w:rPr>
                      </w:pPr>
                      <w:r>
                        <w:rPr>
                          <w:rFonts w:hint="eastAsia"/>
                          <w:sz w:val="28"/>
                        </w:rPr>
                        <w:t>有效期限：</w:t>
                      </w:r>
                      <w:r>
                        <w:rPr>
                          <w:sz w:val="28"/>
                          <w:u w:val="single"/>
                        </w:rPr>
                        <w:t xml:space="preserve">                                                      </w:t>
                      </w:r>
                    </w:p>
                    <w:p>
                      <w:pPr>
                        <w:snapToGrid w:val="0"/>
                        <w:spacing w:line="480" w:lineRule="atLeast"/>
                        <w:rPr>
                          <w:sz w:val="28"/>
                        </w:rPr>
                      </w:pPr>
                      <w:r>
                        <w:rPr>
                          <w:rFonts w:hint="eastAsia"/>
                          <w:sz w:val="28"/>
                        </w:rPr>
                        <w:t>附：代理人性别：</w:t>
                      </w:r>
                      <w:r>
                        <w:rPr>
                          <w:sz w:val="28"/>
                          <w:u w:val="single"/>
                        </w:rPr>
                        <w:t xml:space="preserve">     </w:t>
                      </w:r>
                      <w:r>
                        <w:rPr>
                          <w:rFonts w:hint="eastAsia"/>
                          <w:sz w:val="28"/>
                        </w:rPr>
                        <w:t>年龄：</w:t>
                      </w:r>
                      <w:r>
                        <w:rPr>
                          <w:sz w:val="28"/>
                          <w:u w:val="single"/>
                        </w:rPr>
                        <w:t xml:space="preserve">     </w:t>
                      </w:r>
                      <w:r>
                        <w:rPr>
                          <w:rFonts w:hint="eastAsia"/>
                          <w:sz w:val="28"/>
                        </w:rPr>
                        <w:t>身份证号码：</w:t>
                      </w:r>
                      <w:r>
                        <w:rPr>
                          <w:sz w:val="28"/>
                          <w:u w:val="single"/>
                        </w:rPr>
                        <w:t xml:space="preserve">                    </w:t>
                      </w:r>
                    </w:p>
                    <w:p>
                      <w:pPr>
                        <w:snapToGrid w:val="0"/>
                        <w:spacing w:line="480" w:lineRule="atLeast"/>
                        <w:ind w:firstLine="560"/>
                        <w:rPr>
                          <w:sz w:val="28"/>
                          <w:u w:val="single"/>
                        </w:rPr>
                      </w:pPr>
                      <w:r>
                        <w:rPr>
                          <w:rFonts w:hint="eastAsia"/>
                          <w:sz w:val="28"/>
                        </w:rPr>
                        <w:t>注册号码：</w:t>
                      </w:r>
                      <w:r>
                        <w:rPr>
                          <w:sz w:val="28"/>
                          <w:u w:val="single"/>
                        </w:rPr>
                        <w:t xml:space="preserve">                  </w:t>
                      </w:r>
                      <w:r>
                        <w:rPr>
                          <w:rFonts w:hint="eastAsia"/>
                          <w:sz w:val="28"/>
                        </w:rPr>
                        <w:t>企业类型：</w:t>
                      </w:r>
                      <w:r>
                        <w:rPr>
                          <w:sz w:val="28"/>
                          <w:u w:val="single"/>
                        </w:rPr>
                        <w:t xml:space="preserve">                      </w:t>
                      </w:r>
                    </w:p>
                    <w:p>
                      <w:pPr>
                        <w:snapToGrid w:val="0"/>
                        <w:spacing w:line="480" w:lineRule="atLeast"/>
                        <w:ind w:firstLine="560"/>
                        <w:rPr>
                          <w:sz w:val="28"/>
                          <w:u w:val="single"/>
                        </w:rPr>
                      </w:pPr>
                      <w:r>
                        <w:rPr>
                          <w:rFonts w:hint="eastAsia"/>
                          <w:sz w:val="28"/>
                        </w:rPr>
                        <w:t>经营范围：</w:t>
                      </w:r>
                      <w:r>
                        <w:rPr>
                          <w:sz w:val="28"/>
                          <w:u w:val="single"/>
                        </w:rPr>
                        <w:t xml:space="preserve">                                                  </w:t>
                      </w:r>
                    </w:p>
                    <w:p>
                      <w:pPr>
                        <w:snapToGrid w:val="0"/>
                        <w:spacing w:line="480" w:lineRule="atLeast"/>
                        <w:ind w:firstLine="560"/>
                        <w:rPr>
                          <w:sz w:val="28"/>
                        </w:rPr>
                      </w:pPr>
                      <w:r>
                        <w:rPr>
                          <w:rFonts w:hint="eastAsia"/>
                          <w:sz w:val="28"/>
                        </w:rPr>
                        <w:t>法定代表人（负责人）：</w:t>
                      </w:r>
                      <w:r>
                        <w:rPr>
                          <w:sz w:val="28"/>
                          <w:u w:val="single"/>
                        </w:rPr>
                        <w:t xml:space="preserve">                 </w:t>
                      </w:r>
                      <w:r>
                        <w:rPr>
                          <w:rFonts w:hint="eastAsia"/>
                          <w:sz w:val="28"/>
                        </w:rPr>
                        <w:t>（签名）</w:t>
                      </w:r>
                    </w:p>
                    <w:p>
                      <w:pPr>
                        <w:snapToGrid w:val="0"/>
                        <w:spacing w:line="480" w:lineRule="atLeast"/>
                        <w:ind w:firstLine="560"/>
                        <w:rPr>
                          <w:sz w:val="28"/>
                        </w:rPr>
                      </w:pPr>
                      <w:r>
                        <w:rPr>
                          <w:rFonts w:hint="eastAsia"/>
                          <w:sz w:val="28"/>
                        </w:rPr>
                        <w:t>授权单位：（盖章）</w:t>
                      </w:r>
                      <w:r>
                        <w:rPr>
                          <w:sz w:val="28"/>
                          <w:u w:val="single"/>
                        </w:rPr>
                        <w:t xml:space="preserve">                     </w:t>
                      </w:r>
                      <w:r>
                        <w:rPr>
                          <w:sz w:val="28"/>
                        </w:rPr>
                        <w:t xml:space="preserve"> </w:t>
                      </w:r>
                    </w:p>
                    <w:p>
                      <w:pPr>
                        <w:snapToGrid w:val="0"/>
                        <w:spacing w:line="480" w:lineRule="atLeast"/>
                        <w:ind w:firstLine="560"/>
                      </w:pPr>
                      <w:r>
                        <w:rPr>
                          <w:rFonts w:hint="eastAsia"/>
                          <w:sz w:val="28"/>
                          <w:u w:val="single"/>
                        </w:rPr>
                        <w:t xml:space="preserve">                                  </w:t>
                      </w:r>
                      <w:r>
                        <w:rPr>
                          <w:rFonts w:hint="eastAsia"/>
                          <w:sz w:val="28"/>
                        </w:rPr>
                        <w:t xml:space="preserve">            年</w:t>
                      </w:r>
                      <w:r>
                        <w:rPr>
                          <w:sz w:val="28"/>
                        </w:rPr>
                        <w:t xml:space="preserve">  </w:t>
                      </w:r>
                      <w:r>
                        <w:rPr>
                          <w:rFonts w:hint="eastAsia"/>
                          <w:sz w:val="28"/>
                        </w:rPr>
                        <w:t>月</w:t>
                      </w:r>
                      <w:r>
                        <w:rPr>
                          <w:sz w:val="28"/>
                        </w:rPr>
                        <w:t xml:space="preserve">   </w:t>
                      </w:r>
                      <w:r>
                        <w:rPr>
                          <w:rFonts w:hint="eastAsia"/>
                          <w:sz w:val="28"/>
                        </w:rPr>
                        <w:t>日</w:t>
                      </w:r>
                    </w:p>
                  </w:txbxContent>
                </v:textbox>
              </v:shape>
            </w:pict>
          </mc:Fallback>
        </mc:AlternateContent>
      </w:r>
    </w:p>
    <w:p/>
    <w:p/>
    <w:p/>
    <w:p/>
    <w:p/>
    <w:p/>
    <w:p/>
    <w:p/>
    <w:p/>
    <w:p/>
    <w:p/>
    <w:p/>
    <w:p/>
    <w:p/>
    <w:p/>
    <w:p/>
    <w:p/>
    <w:p/>
    <w:p/>
    <w:p/>
    <w:p>
      <w:pPr>
        <w:sectPr>
          <w:headerReference r:id="rId15" w:type="default"/>
          <w:headerReference r:id="rId16" w:type="even"/>
          <w:footerReference r:id="rId17" w:type="even"/>
          <w:pgSz w:w="11906" w:h="16838"/>
          <w:pgMar w:top="1418" w:right="1134" w:bottom="1418" w:left="1247" w:header="850" w:footer="850" w:gutter="0"/>
          <w:cols w:space="720" w:num="1"/>
          <w:docGrid w:linePitch="312" w:charSpace="0"/>
        </w:sectPr>
      </w:pPr>
      <w:r>
        <w:rPr>
          <w:rFonts w:hint="eastAsia"/>
        </w:rPr>
        <w:t>备注：1. 投标书正本为法定代表人证明书和法定代表人授权委托证明书原件粘贴，副本为复印件粘贴；2.证明书也可使用从工商管理部门购买的格式填写。</w:t>
      </w:r>
    </w:p>
    <w:p>
      <w:pPr>
        <w:jc w:val="center"/>
        <w:rPr>
          <w:b/>
          <w:sz w:val="32"/>
        </w:rPr>
      </w:pPr>
      <w:r>
        <w:rPr>
          <w:rFonts w:hint="eastAsia"/>
          <w:b/>
          <w:sz w:val="32"/>
        </w:rPr>
        <w:t>建造师简历表</w:t>
      </w:r>
    </w:p>
    <w:p>
      <w:pPr>
        <w:jc w:val="center"/>
        <w:rPr>
          <w:b/>
          <w:sz w:val="32"/>
        </w:rPr>
      </w:pPr>
    </w:p>
    <w:p>
      <w:pPr>
        <w:adjustRightInd w:val="0"/>
        <w:snapToGrid w:val="0"/>
        <w:spacing w:line="300" w:lineRule="auto"/>
        <w:rPr>
          <w:rFonts w:hint="eastAsia" w:ascii="新宋体" w:hAnsi="新宋体" w:eastAsia="宋体"/>
          <w:sz w:val="24"/>
          <w:lang w:eastAsia="zh-CN"/>
        </w:rPr>
      </w:pPr>
      <w:r>
        <w:rPr>
          <w:rFonts w:hint="eastAsia" w:cs="Arial"/>
          <w:kern w:val="0"/>
        </w:rPr>
        <w:t>工程名称：</w:t>
      </w:r>
      <w:r>
        <w:rPr>
          <w:rFonts w:hint="eastAsia" w:ascii="新宋体" w:hAnsi="新宋体" w:eastAsia="新宋体"/>
          <w:sz w:val="24"/>
          <w:lang w:eastAsia="zh-CN"/>
        </w:rPr>
        <w:t>白云山校区国际学院公共区域局部修缮项目</w:t>
      </w:r>
    </w:p>
    <w:tbl>
      <w:tblPr>
        <w:tblStyle w:val="68"/>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60"/>
        <w:gridCol w:w="720"/>
        <w:gridCol w:w="1080"/>
        <w:gridCol w:w="180"/>
        <w:gridCol w:w="1080"/>
        <w:gridCol w:w="214"/>
        <w:gridCol w:w="1548"/>
        <w:gridCol w:w="218"/>
        <w:gridCol w:w="720"/>
        <w:gridCol w:w="180"/>
        <w:gridCol w:w="720"/>
        <w:gridCol w:w="118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360" w:lineRule="auto"/>
              <w:jc w:val="center"/>
            </w:pPr>
            <w:r>
              <w:rPr>
                <w:rFonts w:hint="eastAsia"/>
              </w:rPr>
              <w:t>姓 名</w:t>
            </w:r>
          </w:p>
        </w:tc>
        <w:tc>
          <w:tcPr>
            <w:tcW w:w="2340" w:type="dxa"/>
            <w:gridSpan w:val="4"/>
            <w:vAlign w:val="center"/>
          </w:tcPr>
          <w:p>
            <w:pPr>
              <w:spacing w:line="360" w:lineRule="auto"/>
              <w:jc w:val="center"/>
            </w:pPr>
          </w:p>
        </w:tc>
        <w:tc>
          <w:tcPr>
            <w:tcW w:w="1080" w:type="dxa"/>
            <w:vAlign w:val="center"/>
          </w:tcPr>
          <w:p>
            <w:pPr>
              <w:spacing w:line="360" w:lineRule="auto"/>
              <w:jc w:val="center"/>
            </w:pPr>
            <w:r>
              <w:rPr>
                <w:rFonts w:hint="eastAsia"/>
              </w:rPr>
              <w:t>性 别</w:t>
            </w:r>
          </w:p>
        </w:tc>
        <w:tc>
          <w:tcPr>
            <w:tcW w:w="1762" w:type="dxa"/>
            <w:gridSpan w:val="2"/>
            <w:vAlign w:val="center"/>
          </w:tcPr>
          <w:p>
            <w:pPr>
              <w:spacing w:line="360" w:lineRule="auto"/>
              <w:jc w:val="center"/>
            </w:pPr>
          </w:p>
        </w:tc>
        <w:tc>
          <w:tcPr>
            <w:tcW w:w="1118" w:type="dxa"/>
            <w:gridSpan w:val="3"/>
            <w:vAlign w:val="center"/>
          </w:tcPr>
          <w:p>
            <w:pPr>
              <w:spacing w:line="360" w:lineRule="auto"/>
              <w:jc w:val="center"/>
            </w:pPr>
            <w:r>
              <w:rPr>
                <w:rFonts w:hint="eastAsia"/>
              </w:rPr>
              <w:t>年 龄</w:t>
            </w:r>
          </w:p>
        </w:tc>
        <w:tc>
          <w:tcPr>
            <w:tcW w:w="1908" w:type="dxa"/>
            <w:gridSpan w:val="2"/>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360" w:lineRule="auto"/>
              <w:jc w:val="center"/>
            </w:pPr>
            <w:r>
              <w:rPr>
                <w:rFonts w:hint="eastAsia"/>
              </w:rPr>
              <w:t>职 务</w:t>
            </w:r>
          </w:p>
        </w:tc>
        <w:tc>
          <w:tcPr>
            <w:tcW w:w="2340" w:type="dxa"/>
            <w:gridSpan w:val="4"/>
            <w:vAlign w:val="center"/>
          </w:tcPr>
          <w:p>
            <w:pPr>
              <w:spacing w:line="360" w:lineRule="auto"/>
              <w:jc w:val="center"/>
            </w:pPr>
          </w:p>
        </w:tc>
        <w:tc>
          <w:tcPr>
            <w:tcW w:w="1080" w:type="dxa"/>
            <w:vAlign w:val="center"/>
          </w:tcPr>
          <w:p>
            <w:pPr>
              <w:spacing w:line="360" w:lineRule="auto"/>
              <w:jc w:val="center"/>
            </w:pPr>
            <w:r>
              <w:rPr>
                <w:rFonts w:hint="eastAsia"/>
              </w:rPr>
              <w:t>职 称</w:t>
            </w:r>
          </w:p>
        </w:tc>
        <w:tc>
          <w:tcPr>
            <w:tcW w:w="1762" w:type="dxa"/>
            <w:gridSpan w:val="2"/>
            <w:vAlign w:val="center"/>
          </w:tcPr>
          <w:p>
            <w:pPr>
              <w:spacing w:line="360" w:lineRule="auto"/>
              <w:jc w:val="center"/>
            </w:pPr>
          </w:p>
        </w:tc>
        <w:tc>
          <w:tcPr>
            <w:tcW w:w="1118" w:type="dxa"/>
            <w:gridSpan w:val="3"/>
            <w:vAlign w:val="center"/>
          </w:tcPr>
          <w:p>
            <w:pPr>
              <w:spacing w:line="360" w:lineRule="auto"/>
              <w:jc w:val="center"/>
            </w:pPr>
            <w:r>
              <w:rPr>
                <w:rFonts w:hint="eastAsia"/>
              </w:rPr>
              <w:t>学 历</w:t>
            </w:r>
          </w:p>
        </w:tc>
        <w:tc>
          <w:tcPr>
            <w:tcW w:w="1908" w:type="dxa"/>
            <w:gridSpan w:val="2"/>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40" w:type="dxa"/>
            <w:gridSpan w:val="3"/>
            <w:vAlign w:val="center"/>
          </w:tcPr>
          <w:p>
            <w:pPr>
              <w:spacing w:line="360" w:lineRule="auto"/>
              <w:jc w:val="center"/>
            </w:pPr>
            <w:r>
              <w:rPr>
                <w:rFonts w:hint="eastAsia"/>
              </w:rPr>
              <w:t>参加工作时间</w:t>
            </w:r>
          </w:p>
        </w:tc>
        <w:tc>
          <w:tcPr>
            <w:tcW w:w="2554" w:type="dxa"/>
            <w:gridSpan w:val="4"/>
            <w:vAlign w:val="center"/>
          </w:tcPr>
          <w:p>
            <w:pPr>
              <w:spacing w:line="360" w:lineRule="auto"/>
              <w:jc w:val="center"/>
            </w:pPr>
          </w:p>
        </w:tc>
        <w:tc>
          <w:tcPr>
            <w:tcW w:w="2486" w:type="dxa"/>
            <w:gridSpan w:val="3"/>
            <w:vAlign w:val="center"/>
          </w:tcPr>
          <w:p>
            <w:pPr>
              <w:spacing w:line="360" w:lineRule="auto"/>
              <w:jc w:val="center"/>
            </w:pPr>
            <w:r>
              <w:rPr>
                <w:rFonts w:hint="eastAsia"/>
              </w:rPr>
              <w:t>从事建造师</w:t>
            </w:r>
          </w:p>
          <w:p>
            <w:pPr>
              <w:spacing w:line="360" w:lineRule="auto"/>
              <w:jc w:val="center"/>
            </w:pPr>
            <w:r>
              <w:rPr>
                <w:rFonts w:hint="eastAsia"/>
              </w:rPr>
              <w:t>（项目经理）年限</w:t>
            </w:r>
          </w:p>
        </w:tc>
        <w:tc>
          <w:tcPr>
            <w:tcW w:w="2088" w:type="dxa"/>
            <w:gridSpan w:val="3"/>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0" w:type="dxa"/>
            <w:gridSpan w:val="5"/>
            <w:vAlign w:val="center"/>
          </w:tcPr>
          <w:p>
            <w:pPr>
              <w:spacing w:line="360" w:lineRule="auto"/>
              <w:jc w:val="center"/>
            </w:pPr>
            <w:r>
              <w:rPr>
                <w:rFonts w:hint="eastAsia"/>
              </w:rPr>
              <w:t>建造师资格证书编号</w:t>
            </w:r>
          </w:p>
        </w:tc>
        <w:tc>
          <w:tcPr>
            <w:tcW w:w="5868" w:type="dxa"/>
            <w:gridSpan w:val="8"/>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68" w:type="dxa"/>
            <w:gridSpan w:val="13"/>
            <w:vAlign w:val="center"/>
          </w:tcPr>
          <w:p>
            <w:pPr>
              <w:spacing w:line="360" w:lineRule="auto"/>
              <w:jc w:val="center"/>
            </w:pPr>
            <w:r>
              <w:rPr>
                <w:rFonts w:hint="eastAsia"/>
              </w:rPr>
              <w:t>在建和已完工程项目情况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r>
              <w:rPr>
                <w:rFonts w:hint="eastAsia"/>
              </w:rPr>
              <w:t>建设单位</w:t>
            </w:r>
          </w:p>
        </w:tc>
        <w:tc>
          <w:tcPr>
            <w:tcW w:w="1800" w:type="dxa"/>
            <w:gridSpan w:val="2"/>
            <w:vAlign w:val="center"/>
          </w:tcPr>
          <w:p>
            <w:pPr>
              <w:spacing w:line="360" w:lineRule="auto"/>
              <w:jc w:val="center"/>
            </w:pPr>
            <w:r>
              <w:rPr>
                <w:rFonts w:hint="eastAsia"/>
              </w:rPr>
              <w:t>项目名称</w:t>
            </w:r>
          </w:p>
        </w:tc>
        <w:tc>
          <w:tcPr>
            <w:tcW w:w="1474" w:type="dxa"/>
            <w:gridSpan w:val="3"/>
            <w:vAlign w:val="center"/>
          </w:tcPr>
          <w:p>
            <w:pPr>
              <w:spacing w:line="360" w:lineRule="auto"/>
              <w:jc w:val="center"/>
            </w:pPr>
            <w:r>
              <w:rPr>
                <w:rFonts w:hint="eastAsia"/>
              </w:rPr>
              <w:t>建设规模</w:t>
            </w:r>
          </w:p>
        </w:tc>
        <w:tc>
          <w:tcPr>
            <w:tcW w:w="1766" w:type="dxa"/>
            <w:gridSpan w:val="2"/>
            <w:vAlign w:val="center"/>
          </w:tcPr>
          <w:p>
            <w:pPr>
              <w:spacing w:line="360" w:lineRule="auto"/>
              <w:jc w:val="center"/>
            </w:pPr>
            <w:r>
              <w:rPr>
                <w:rFonts w:hint="eastAsia"/>
              </w:rPr>
              <w:t>开、竣工日期</w:t>
            </w:r>
          </w:p>
        </w:tc>
        <w:tc>
          <w:tcPr>
            <w:tcW w:w="1620" w:type="dxa"/>
            <w:gridSpan w:val="3"/>
            <w:vAlign w:val="center"/>
          </w:tcPr>
          <w:p>
            <w:pPr>
              <w:spacing w:line="360" w:lineRule="auto"/>
              <w:jc w:val="center"/>
            </w:pPr>
            <w:r>
              <w:rPr>
                <w:rFonts w:hint="eastAsia"/>
              </w:rPr>
              <w:t>在建或已完</w:t>
            </w:r>
          </w:p>
        </w:tc>
        <w:tc>
          <w:tcPr>
            <w:tcW w:w="1188" w:type="dxa"/>
            <w:vAlign w:val="center"/>
          </w:tcPr>
          <w:p>
            <w:pPr>
              <w:spacing w:line="360" w:lineRule="auto"/>
              <w:jc w:val="center"/>
            </w:pPr>
            <w:r>
              <w:rPr>
                <w:rFonts w:hint="eastAsia"/>
              </w:rPr>
              <w:t>工程质量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p>
        </w:tc>
        <w:tc>
          <w:tcPr>
            <w:tcW w:w="1800" w:type="dxa"/>
            <w:gridSpan w:val="2"/>
            <w:vAlign w:val="center"/>
          </w:tcPr>
          <w:p>
            <w:pPr>
              <w:spacing w:line="360" w:lineRule="auto"/>
              <w:jc w:val="center"/>
            </w:pPr>
          </w:p>
        </w:tc>
        <w:tc>
          <w:tcPr>
            <w:tcW w:w="1474" w:type="dxa"/>
            <w:gridSpan w:val="3"/>
            <w:vAlign w:val="center"/>
          </w:tcPr>
          <w:p>
            <w:pPr>
              <w:spacing w:line="360" w:lineRule="auto"/>
              <w:jc w:val="center"/>
            </w:pPr>
          </w:p>
        </w:tc>
        <w:tc>
          <w:tcPr>
            <w:tcW w:w="1766" w:type="dxa"/>
            <w:gridSpan w:val="2"/>
            <w:vAlign w:val="center"/>
          </w:tcPr>
          <w:p>
            <w:pPr>
              <w:spacing w:line="360" w:lineRule="auto"/>
              <w:jc w:val="center"/>
            </w:pPr>
          </w:p>
        </w:tc>
        <w:tc>
          <w:tcPr>
            <w:tcW w:w="1620" w:type="dxa"/>
            <w:gridSpan w:val="3"/>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p>
        </w:tc>
        <w:tc>
          <w:tcPr>
            <w:tcW w:w="1800" w:type="dxa"/>
            <w:gridSpan w:val="2"/>
            <w:vAlign w:val="center"/>
          </w:tcPr>
          <w:p>
            <w:pPr>
              <w:spacing w:line="360" w:lineRule="auto"/>
              <w:jc w:val="center"/>
            </w:pPr>
          </w:p>
        </w:tc>
        <w:tc>
          <w:tcPr>
            <w:tcW w:w="1474" w:type="dxa"/>
            <w:gridSpan w:val="3"/>
            <w:vAlign w:val="center"/>
          </w:tcPr>
          <w:p>
            <w:pPr>
              <w:spacing w:line="360" w:lineRule="auto"/>
              <w:jc w:val="center"/>
            </w:pPr>
          </w:p>
        </w:tc>
        <w:tc>
          <w:tcPr>
            <w:tcW w:w="1766" w:type="dxa"/>
            <w:gridSpan w:val="2"/>
            <w:vAlign w:val="center"/>
          </w:tcPr>
          <w:p>
            <w:pPr>
              <w:spacing w:line="360" w:lineRule="auto"/>
              <w:jc w:val="center"/>
            </w:pPr>
          </w:p>
        </w:tc>
        <w:tc>
          <w:tcPr>
            <w:tcW w:w="1620" w:type="dxa"/>
            <w:gridSpan w:val="3"/>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p>
        </w:tc>
        <w:tc>
          <w:tcPr>
            <w:tcW w:w="1800" w:type="dxa"/>
            <w:gridSpan w:val="2"/>
            <w:vAlign w:val="center"/>
          </w:tcPr>
          <w:p>
            <w:pPr>
              <w:spacing w:line="360" w:lineRule="auto"/>
              <w:jc w:val="center"/>
            </w:pPr>
          </w:p>
        </w:tc>
        <w:tc>
          <w:tcPr>
            <w:tcW w:w="1474" w:type="dxa"/>
            <w:gridSpan w:val="3"/>
            <w:vAlign w:val="center"/>
          </w:tcPr>
          <w:p>
            <w:pPr>
              <w:spacing w:line="360" w:lineRule="auto"/>
              <w:jc w:val="center"/>
            </w:pPr>
          </w:p>
        </w:tc>
        <w:tc>
          <w:tcPr>
            <w:tcW w:w="1766" w:type="dxa"/>
            <w:gridSpan w:val="2"/>
            <w:vAlign w:val="center"/>
          </w:tcPr>
          <w:p>
            <w:pPr>
              <w:spacing w:line="360" w:lineRule="auto"/>
              <w:jc w:val="center"/>
            </w:pPr>
          </w:p>
        </w:tc>
        <w:tc>
          <w:tcPr>
            <w:tcW w:w="1620" w:type="dxa"/>
            <w:gridSpan w:val="3"/>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p>
        </w:tc>
        <w:tc>
          <w:tcPr>
            <w:tcW w:w="1800" w:type="dxa"/>
            <w:gridSpan w:val="2"/>
            <w:vAlign w:val="center"/>
          </w:tcPr>
          <w:p>
            <w:pPr>
              <w:spacing w:line="360" w:lineRule="auto"/>
              <w:jc w:val="center"/>
            </w:pPr>
          </w:p>
        </w:tc>
        <w:tc>
          <w:tcPr>
            <w:tcW w:w="1474" w:type="dxa"/>
            <w:gridSpan w:val="3"/>
            <w:vAlign w:val="center"/>
          </w:tcPr>
          <w:p>
            <w:pPr>
              <w:spacing w:line="360" w:lineRule="auto"/>
              <w:jc w:val="center"/>
            </w:pPr>
          </w:p>
        </w:tc>
        <w:tc>
          <w:tcPr>
            <w:tcW w:w="1766" w:type="dxa"/>
            <w:gridSpan w:val="2"/>
            <w:vAlign w:val="center"/>
          </w:tcPr>
          <w:p>
            <w:pPr>
              <w:spacing w:line="360" w:lineRule="auto"/>
              <w:jc w:val="center"/>
            </w:pPr>
          </w:p>
        </w:tc>
        <w:tc>
          <w:tcPr>
            <w:tcW w:w="1620" w:type="dxa"/>
            <w:gridSpan w:val="3"/>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p>
        </w:tc>
        <w:tc>
          <w:tcPr>
            <w:tcW w:w="1800" w:type="dxa"/>
            <w:gridSpan w:val="2"/>
            <w:vAlign w:val="center"/>
          </w:tcPr>
          <w:p>
            <w:pPr>
              <w:spacing w:line="360" w:lineRule="auto"/>
              <w:jc w:val="center"/>
            </w:pPr>
          </w:p>
        </w:tc>
        <w:tc>
          <w:tcPr>
            <w:tcW w:w="1474" w:type="dxa"/>
            <w:gridSpan w:val="3"/>
            <w:vAlign w:val="center"/>
          </w:tcPr>
          <w:p>
            <w:pPr>
              <w:spacing w:line="360" w:lineRule="auto"/>
              <w:jc w:val="center"/>
            </w:pPr>
          </w:p>
        </w:tc>
        <w:tc>
          <w:tcPr>
            <w:tcW w:w="1766" w:type="dxa"/>
            <w:gridSpan w:val="2"/>
            <w:vAlign w:val="center"/>
          </w:tcPr>
          <w:p>
            <w:pPr>
              <w:spacing w:line="360" w:lineRule="auto"/>
              <w:jc w:val="center"/>
            </w:pPr>
          </w:p>
        </w:tc>
        <w:tc>
          <w:tcPr>
            <w:tcW w:w="1620" w:type="dxa"/>
            <w:gridSpan w:val="3"/>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p>
        </w:tc>
        <w:tc>
          <w:tcPr>
            <w:tcW w:w="1800" w:type="dxa"/>
            <w:gridSpan w:val="2"/>
            <w:vAlign w:val="center"/>
          </w:tcPr>
          <w:p>
            <w:pPr>
              <w:spacing w:line="360" w:lineRule="auto"/>
              <w:jc w:val="center"/>
            </w:pPr>
          </w:p>
        </w:tc>
        <w:tc>
          <w:tcPr>
            <w:tcW w:w="1474" w:type="dxa"/>
            <w:gridSpan w:val="3"/>
            <w:vAlign w:val="center"/>
          </w:tcPr>
          <w:p>
            <w:pPr>
              <w:spacing w:line="360" w:lineRule="auto"/>
              <w:jc w:val="center"/>
            </w:pPr>
          </w:p>
        </w:tc>
        <w:tc>
          <w:tcPr>
            <w:tcW w:w="1766" w:type="dxa"/>
            <w:gridSpan w:val="2"/>
            <w:vAlign w:val="center"/>
          </w:tcPr>
          <w:p>
            <w:pPr>
              <w:spacing w:line="360" w:lineRule="auto"/>
              <w:jc w:val="center"/>
            </w:pPr>
          </w:p>
        </w:tc>
        <w:tc>
          <w:tcPr>
            <w:tcW w:w="1620" w:type="dxa"/>
            <w:gridSpan w:val="3"/>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p>
        </w:tc>
        <w:tc>
          <w:tcPr>
            <w:tcW w:w="1800" w:type="dxa"/>
            <w:gridSpan w:val="2"/>
            <w:vAlign w:val="center"/>
          </w:tcPr>
          <w:p>
            <w:pPr>
              <w:spacing w:line="360" w:lineRule="auto"/>
              <w:jc w:val="center"/>
            </w:pPr>
          </w:p>
        </w:tc>
        <w:tc>
          <w:tcPr>
            <w:tcW w:w="1474" w:type="dxa"/>
            <w:gridSpan w:val="3"/>
            <w:vAlign w:val="center"/>
          </w:tcPr>
          <w:p>
            <w:pPr>
              <w:spacing w:line="360" w:lineRule="auto"/>
              <w:jc w:val="center"/>
            </w:pPr>
          </w:p>
        </w:tc>
        <w:tc>
          <w:tcPr>
            <w:tcW w:w="1766" w:type="dxa"/>
            <w:gridSpan w:val="2"/>
            <w:vAlign w:val="center"/>
          </w:tcPr>
          <w:p>
            <w:pPr>
              <w:spacing w:line="360" w:lineRule="auto"/>
              <w:jc w:val="center"/>
            </w:pPr>
          </w:p>
        </w:tc>
        <w:tc>
          <w:tcPr>
            <w:tcW w:w="1620" w:type="dxa"/>
            <w:gridSpan w:val="3"/>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p>
        </w:tc>
        <w:tc>
          <w:tcPr>
            <w:tcW w:w="1800" w:type="dxa"/>
            <w:gridSpan w:val="2"/>
            <w:vAlign w:val="center"/>
          </w:tcPr>
          <w:p>
            <w:pPr>
              <w:spacing w:line="360" w:lineRule="auto"/>
              <w:jc w:val="center"/>
            </w:pPr>
          </w:p>
        </w:tc>
        <w:tc>
          <w:tcPr>
            <w:tcW w:w="1474" w:type="dxa"/>
            <w:gridSpan w:val="3"/>
            <w:vAlign w:val="center"/>
          </w:tcPr>
          <w:p>
            <w:pPr>
              <w:spacing w:line="360" w:lineRule="auto"/>
              <w:jc w:val="center"/>
            </w:pPr>
          </w:p>
        </w:tc>
        <w:tc>
          <w:tcPr>
            <w:tcW w:w="1766" w:type="dxa"/>
            <w:gridSpan w:val="2"/>
            <w:vAlign w:val="center"/>
          </w:tcPr>
          <w:p>
            <w:pPr>
              <w:spacing w:line="360" w:lineRule="auto"/>
              <w:jc w:val="center"/>
            </w:pPr>
          </w:p>
        </w:tc>
        <w:tc>
          <w:tcPr>
            <w:tcW w:w="1620" w:type="dxa"/>
            <w:gridSpan w:val="3"/>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p>
        </w:tc>
        <w:tc>
          <w:tcPr>
            <w:tcW w:w="1800" w:type="dxa"/>
            <w:gridSpan w:val="2"/>
            <w:vAlign w:val="center"/>
          </w:tcPr>
          <w:p>
            <w:pPr>
              <w:spacing w:line="360" w:lineRule="auto"/>
              <w:jc w:val="center"/>
            </w:pPr>
          </w:p>
        </w:tc>
        <w:tc>
          <w:tcPr>
            <w:tcW w:w="1474" w:type="dxa"/>
            <w:gridSpan w:val="3"/>
            <w:vAlign w:val="center"/>
          </w:tcPr>
          <w:p>
            <w:pPr>
              <w:spacing w:line="360" w:lineRule="auto"/>
              <w:jc w:val="center"/>
            </w:pPr>
          </w:p>
        </w:tc>
        <w:tc>
          <w:tcPr>
            <w:tcW w:w="1766" w:type="dxa"/>
            <w:gridSpan w:val="2"/>
            <w:vAlign w:val="center"/>
          </w:tcPr>
          <w:p>
            <w:pPr>
              <w:spacing w:line="360" w:lineRule="auto"/>
              <w:jc w:val="center"/>
            </w:pPr>
          </w:p>
        </w:tc>
        <w:tc>
          <w:tcPr>
            <w:tcW w:w="1620" w:type="dxa"/>
            <w:gridSpan w:val="3"/>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p>
        </w:tc>
        <w:tc>
          <w:tcPr>
            <w:tcW w:w="1800" w:type="dxa"/>
            <w:gridSpan w:val="2"/>
            <w:vAlign w:val="center"/>
          </w:tcPr>
          <w:p>
            <w:pPr>
              <w:spacing w:line="360" w:lineRule="auto"/>
              <w:jc w:val="center"/>
            </w:pPr>
          </w:p>
        </w:tc>
        <w:tc>
          <w:tcPr>
            <w:tcW w:w="1474" w:type="dxa"/>
            <w:gridSpan w:val="3"/>
            <w:vAlign w:val="center"/>
          </w:tcPr>
          <w:p>
            <w:pPr>
              <w:spacing w:line="360" w:lineRule="auto"/>
              <w:jc w:val="center"/>
            </w:pPr>
          </w:p>
        </w:tc>
        <w:tc>
          <w:tcPr>
            <w:tcW w:w="1766" w:type="dxa"/>
            <w:gridSpan w:val="2"/>
            <w:vAlign w:val="center"/>
          </w:tcPr>
          <w:p>
            <w:pPr>
              <w:spacing w:line="360" w:lineRule="auto"/>
              <w:jc w:val="center"/>
            </w:pPr>
          </w:p>
        </w:tc>
        <w:tc>
          <w:tcPr>
            <w:tcW w:w="1620" w:type="dxa"/>
            <w:gridSpan w:val="3"/>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p>
        </w:tc>
        <w:tc>
          <w:tcPr>
            <w:tcW w:w="1800" w:type="dxa"/>
            <w:gridSpan w:val="2"/>
            <w:vAlign w:val="center"/>
          </w:tcPr>
          <w:p>
            <w:pPr>
              <w:spacing w:line="360" w:lineRule="auto"/>
              <w:jc w:val="center"/>
            </w:pPr>
          </w:p>
        </w:tc>
        <w:tc>
          <w:tcPr>
            <w:tcW w:w="1474" w:type="dxa"/>
            <w:gridSpan w:val="3"/>
            <w:vAlign w:val="center"/>
          </w:tcPr>
          <w:p>
            <w:pPr>
              <w:spacing w:line="360" w:lineRule="auto"/>
              <w:jc w:val="center"/>
            </w:pPr>
          </w:p>
        </w:tc>
        <w:tc>
          <w:tcPr>
            <w:tcW w:w="1766" w:type="dxa"/>
            <w:gridSpan w:val="2"/>
            <w:vAlign w:val="center"/>
          </w:tcPr>
          <w:p>
            <w:pPr>
              <w:spacing w:line="360" w:lineRule="auto"/>
              <w:jc w:val="center"/>
            </w:pPr>
          </w:p>
        </w:tc>
        <w:tc>
          <w:tcPr>
            <w:tcW w:w="1620" w:type="dxa"/>
            <w:gridSpan w:val="3"/>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p>
        </w:tc>
        <w:tc>
          <w:tcPr>
            <w:tcW w:w="1800" w:type="dxa"/>
            <w:gridSpan w:val="2"/>
            <w:vAlign w:val="center"/>
          </w:tcPr>
          <w:p>
            <w:pPr>
              <w:spacing w:line="360" w:lineRule="auto"/>
              <w:jc w:val="center"/>
            </w:pPr>
          </w:p>
        </w:tc>
        <w:tc>
          <w:tcPr>
            <w:tcW w:w="1474" w:type="dxa"/>
            <w:gridSpan w:val="3"/>
            <w:vAlign w:val="center"/>
          </w:tcPr>
          <w:p>
            <w:pPr>
              <w:spacing w:line="360" w:lineRule="auto"/>
              <w:jc w:val="center"/>
            </w:pPr>
          </w:p>
        </w:tc>
        <w:tc>
          <w:tcPr>
            <w:tcW w:w="1766" w:type="dxa"/>
            <w:gridSpan w:val="2"/>
            <w:vAlign w:val="center"/>
          </w:tcPr>
          <w:p>
            <w:pPr>
              <w:spacing w:line="360" w:lineRule="auto"/>
              <w:jc w:val="center"/>
            </w:pPr>
          </w:p>
        </w:tc>
        <w:tc>
          <w:tcPr>
            <w:tcW w:w="1620" w:type="dxa"/>
            <w:gridSpan w:val="3"/>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p>
        </w:tc>
        <w:tc>
          <w:tcPr>
            <w:tcW w:w="1800" w:type="dxa"/>
            <w:gridSpan w:val="2"/>
            <w:vAlign w:val="center"/>
          </w:tcPr>
          <w:p>
            <w:pPr>
              <w:spacing w:line="360" w:lineRule="auto"/>
              <w:jc w:val="center"/>
            </w:pPr>
          </w:p>
        </w:tc>
        <w:tc>
          <w:tcPr>
            <w:tcW w:w="1474" w:type="dxa"/>
            <w:gridSpan w:val="3"/>
            <w:vAlign w:val="center"/>
          </w:tcPr>
          <w:p>
            <w:pPr>
              <w:spacing w:line="360" w:lineRule="auto"/>
              <w:jc w:val="center"/>
            </w:pPr>
          </w:p>
        </w:tc>
        <w:tc>
          <w:tcPr>
            <w:tcW w:w="1766" w:type="dxa"/>
            <w:gridSpan w:val="2"/>
            <w:vAlign w:val="center"/>
          </w:tcPr>
          <w:p>
            <w:pPr>
              <w:spacing w:line="360" w:lineRule="auto"/>
              <w:jc w:val="center"/>
            </w:pPr>
          </w:p>
        </w:tc>
        <w:tc>
          <w:tcPr>
            <w:tcW w:w="1620" w:type="dxa"/>
            <w:gridSpan w:val="3"/>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620" w:type="dxa"/>
            <w:gridSpan w:val="2"/>
            <w:vAlign w:val="center"/>
          </w:tcPr>
          <w:p>
            <w:pPr>
              <w:spacing w:line="360" w:lineRule="auto"/>
              <w:jc w:val="center"/>
            </w:pPr>
          </w:p>
        </w:tc>
        <w:tc>
          <w:tcPr>
            <w:tcW w:w="1800" w:type="dxa"/>
            <w:gridSpan w:val="2"/>
            <w:vAlign w:val="center"/>
          </w:tcPr>
          <w:p>
            <w:pPr>
              <w:spacing w:line="360" w:lineRule="auto"/>
              <w:jc w:val="center"/>
            </w:pPr>
          </w:p>
        </w:tc>
        <w:tc>
          <w:tcPr>
            <w:tcW w:w="1474" w:type="dxa"/>
            <w:gridSpan w:val="3"/>
            <w:vAlign w:val="center"/>
          </w:tcPr>
          <w:p>
            <w:pPr>
              <w:spacing w:line="360" w:lineRule="auto"/>
              <w:jc w:val="center"/>
            </w:pPr>
          </w:p>
        </w:tc>
        <w:tc>
          <w:tcPr>
            <w:tcW w:w="1766" w:type="dxa"/>
            <w:gridSpan w:val="2"/>
            <w:vAlign w:val="center"/>
          </w:tcPr>
          <w:p>
            <w:pPr>
              <w:spacing w:line="360" w:lineRule="auto"/>
              <w:jc w:val="center"/>
            </w:pPr>
          </w:p>
        </w:tc>
        <w:tc>
          <w:tcPr>
            <w:tcW w:w="1620" w:type="dxa"/>
            <w:gridSpan w:val="3"/>
            <w:vAlign w:val="center"/>
          </w:tcPr>
          <w:p>
            <w:pPr>
              <w:spacing w:line="360" w:lineRule="auto"/>
              <w:jc w:val="center"/>
            </w:pPr>
          </w:p>
        </w:tc>
        <w:tc>
          <w:tcPr>
            <w:tcW w:w="1188" w:type="dxa"/>
            <w:vAlign w:val="center"/>
          </w:tcPr>
          <w:p>
            <w:pPr>
              <w:spacing w:line="360" w:lineRule="auto"/>
              <w:jc w:val="center"/>
            </w:pPr>
          </w:p>
        </w:tc>
      </w:tr>
    </w:tbl>
    <w:p>
      <w:pPr>
        <w:spacing w:line="360" w:lineRule="auto"/>
        <w:rPr>
          <w:rFonts w:ascii="楷体_GB2312" w:eastAsia="楷体_GB2312"/>
          <w:b/>
          <w:bCs/>
        </w:rPr>
      </w:pPr>
    </w:p>
    <w:p>
      <w:pPr>
        <w:spacing w:line="360" w:lineRule="auto"/>
        <w:rPr>
          <w:rFonts w:ascii="宋体"/>
          <w:b/>
          <w:bCs/>
          <w:sz w:val="24"/>
        </w:rPr>
      </w:pPr>
      <w:r>
        <w:rPr>
          <w:rFonts w:hint="eastAsia" w:ascii="宋体"/>
          <w:b/>
          <w:bCs/>
          <w:sz w:val="24"/>
        </w:rPr>
        <w:t>注：需提供建造师资格证书复印件</w:t>
      </w:r>
      <w:bookmarkEnd w:id="70"/>
    </w:p>
    <w:bookmarkEnd w:id="71"/>
    <w:p>
      <w:pPr>
        <w:spacing w:line="360" w:lineRule="auto"/>
        <w:rPr>
          <w:rFonts w:ascii="Arial" w:hAnsi="Arial" w:eastAsia="黑体"/>
          <w:b/>
          <w:bCs/>
          <w:sz w:val="32"/>
          <w:szCs w:val="32"/>
        </w:rPr>
      </w:pPr>
    </w:p>
    <w:p>
      <w:pPr>
        <w:spacing w:line="360" w:lineRule="auto"/>
        <w:rPr>
          <w:rFonts w:ascii="Arial" w:hAnsi="Arial" w:eastAsia="黑体"/>
          <w:b/>
          <w:bCs/>
          <w:sz w:val="32"/>
          <w:szCs w:val="32"/>
        </w:rPr>
      </w:pPr>
    </w:p>
    <w:p>
      <w:pPr>
        <w:spacing w:line="360" w:lineRule="auto"/>
        <w:rPr>
          <w:rFonts w:ascii="Arial" w:hAnsi="Arial" w:eastAsia="黑体"/>
          <w:b/>
          <w:bCs/>
          <w:sz w:val="32"/>
          <w:szCs w:val="32"/>
        </w:rPr>
      </w:pPr>
    </w:p>
    <w:p>
      <w:pPr>
        <w:spacing w:line="360" w:lineRule="auto"/>
        <w:rPr>
          <w:rFonts w:ascii="Arial" w:hAnsi="Arial" w:eastAsia="黑体"/>
          <w:b/>
          <w:bCs/>
          <w:sz w:val="32"/>
          <w:szCs w:val="32"/>
        </w:rPr>
      </w:pPr>
    </w:p>
    <w:p>
      <w:pPr>
        <w:spacing w:line="360" w:lineRule="auto"/>
        <w:rPr>
          <w:rFonts w:ascii="Arial" w:hAnsi="Arial" w:eastAsia="黑体"/>
          <w:b/>
          <w:bCs/>
          <w:sz w:val="32"/>
          <w:szCs w:val="32"/>
        </w:rPr>
      </w:pPr>
    </w:p>
    <w:p>
      <w:pPr>
        <w:spacing w:line="360" w:lineRule="auto"/>
        <w:rPr>
          <w:rFonts w:ascii="Arial" w:hAnsi="Arial" w:eastAsia="黑体"/>
          <w:b/>
          <w:bCs/>
          <w:sz w:val="32"/>
          <w:szCs w:val="32"/>
        </w:rPr>
      </w:pPr>
    </w:p>
    <w:p>
      <w:pPr>
        <w:spacing w:line="360" w:lineRule="auto"/>
        <w:rPr>
          <w:rFonts w:ascii="Arial" w:hAnsi="Arial" w:eastAsia="黑体"/>
          <w:b/>
          <w:bCs/>
          <w:sz w:val="32"/>
          <w:szCs w:val="32"/>
        </w:rPr>
      </w:pPr>
    </w:p>
    <w:p>
      <w:pPr>
        <w:pStyle w:val="3"/>
        <w:keepLines w:val="0"/>
        <w:tabs>
          <w:tab w:val="left" w:pos="851"/>
        </w:tabs>
        <w:spacing w:after="120" w:line="360" w:lineRule="auto"/>
        <w:ind w:left="0" w:leftChars="0" w:firstLine="100" w:firstLineChars="0"/>
        <w:rPr>
          <w:rFonts w:ascii="宋体" w:hAnsi="宋体"/>
          <w:sz w:val="24"/>
        </w:rPr>
      </w:pPr>
      <w:bookmarkStart w:id="508" w:name="_Toc12668"/>
      <w:bookmarkStart w:id="509" w:name="_Toc278458299"/>
      <w:bookmarkStart w:id="510" w:name="_Toc43798466"/>
      <w:bookmarkStart w:id="511" w:name="_Toc22070"/>
      <w:bookmarkStart w:id="512" w:name="_Toc136009920"/>
      <w:bookmarkStart w:id="513" w:name="_Toc61511597"/>
      <w:r>
        <w:rPr>
          <w:rFonts w:hint="eastAsia" w:ascii="宋体" w:hAnsi="宋体"/>
          <w:sz w:val="24"/>
        </w:rPr>
        <w:t>附件5：</w:t>
      </w:r>
      <w:bookmarkEnd w:id="508"/>
      <w:bookmarkEnd w:id="509"/>
      <w:bookmarkEnd w:id="510"/>
      <w:bookmarkEnd w:id="511"/>
      <w:r>
        <w:rPr>
          <w:rFonts w:hint="eastAsia" w:ascii="宋体" w:hAnsi="宋体"/>
          <w:sz w:val="24"/>
        </w:rPr>
        <w:t>施工图纸</w:t>
      </w:r>
      <w:r>
        <w:rPr>
          <w:rFonts w:ascii="宋体" w:hAnsi="宋体"/>
          <w:sz w:val="24"/>
        </w:rPr>
        <w:t>（</w:t>
      </w:r>
      <w:r>
        <w:rPr>
          <w:rFonts w:hint="eastAsia" w:ascii="宋体" w:hAnsi="宋体"/>
          <w:sz w:val="24"/>
        </w:rPr>
        <w:t>另册</w:t>
      </w:r>
      <w:r>
        <w:rPr>
          <w:rFonts w:ascii="宋体" w:hAnsi="宋体"/>
          <w:sz w:val="24"/>
        </w:rPr>
        <w:t>）</w:t>
      </w:r>
      <w:bookmarkEnd w:id="512"/>
      <w:bookmarkEnd w:id="513"/>
    </w:p>
    <w:p>
      <w:pPr>
        <w:pStyle w:val="3"/>
        <w:keepLines w:val="0"/>
        <w:tabs>
          <w:tab w:val="left" w:pos="851"/>
        </w:tabs>
        <w:spacing w:after="120" w:line="360" w:lineRule="auto"/>
        <w:ind w:left="0" w:leftChars="0" w:firstLine="100" w:firstLineChars="0"/>
        <w:rPr>
          <w:rFonts w:ascii="宋体" w:hAnsi="宋体"/>
          <w:sz w:val="24"/>
        </w:rPr>
      </w:pPr>
      <w:bookmarkStart w:id="514" w:name="_Toc136009921"/>
      <w:r>
        <w:rPr>
          <w:rFonts w:hint="eastAsia" w:ascii="宋体" w:hAnsi="宋体"/>
          <w:sz w:val="24"/>
        </w:rPr>
        <w:t>附件6</w:t>
      </w:r>
      <w:r>
        <w:rPr>
          <w:rFonts w:ascii="宋体" w:hAnsi="宋体"/>
          <w:sz w:val="24"/>
        </w:rPr>
        <w:t xml:space="preserve">: </w:t>
      </w:r>
      <w:r>
        <w:rPr>
          <w:rFonts w:hint="eastAsia" w:ascii="宋体" w:hAnsi="宋体"/>
          <w:sz w:val="24"/>
        </w:rPr>
        <w:t>工程量</w:t>
      </w:r>
      <w:r>
        <w:rPr>
          <w:rFonts w:ascii="宋体" w:hAnsi="宋体"/>
          <w:sz w:val="24"/>
        </w:rPr>
        <w:t>清单</w:t>
      </w:r>
      <w:r>
        <w:rPr>
          <w:rFonts w:hint="eastAsia" w:ascii="宋体" w:hAnsi="宋体"/>
          <w:sz w:val="24"/>
        </w:rPr>
        <w:t>（另册）</w:t>
      </w:r>
      <w:bookmarkEnd w:id="514"/>
    </w:p>
    <w:p>
      <w:pPr>
        <w:pStyle w:val="3"/>
        <w:keepLines w:val="0"/>
        <w:tabs>
          <w:tab w:val="left" w:pos="851"/>
        </w:tabs>
        <w:spacing w:after="120" w:line="360" w:lineRule="auto"/>
        <w:ind w:left="0" w:leftChars="0" w:firstLine="100" w:firstLineChars="0"/>
      </w:pPr>
    </w:p>
    <w:sectPr>
      <w:footerReference r:id="rId21" w:type="first"/>
      <w:headerReference r:id="rId18" w:type="default"/>
      <w:headerReference r:id="rId19" w:type="even"/>
      <w:footerReference r:id="rId20" w:type="even"/>
      <w:pgSz w:w="11907" w:h="16834"/>
      <w:pgMar w:top="1418" w:right="1134" w:bottom="1418" w:left="1247" w:header="850" w:footer="850" w:gutter="0"/>
      <w:cols w:space="720" w:num="1"/>
      <w:docGrid w:linePitch="287" w:charSpace="-3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MS Gothic">
    <w:panose1 w:val="020B0609070205080204"/>
    <w:charset w:val="80"/>
    <w:family w:val="modern"/>
    <w:pitch w:val="default"/>
    <w:sig w:usb0="E00002FF" w:usb1="6AC7FDFB" w:usb2="08000012" w:usb3="00000000" w:csb0="4002009F" w:csb1="DFD70000"/>
  </w:font>
  <w:font w:name="楷体_GB2312">
    <w:altName w:val="楷体"/>
    <w:panose1 w:val="00000000000000000000"/>
    <w:charset w:val="86"/>
    <w:family w:val="modern"/>
    <w:pitch w:val="default"/>
    <w:sig w:usb0="00000000" w:usb1="00000000" w:usb2="00000000" w:usb3="00000000" w:csb0="00040000" w:csb1="00000000"/>
  </w:font>
  <w:font w:name="Footlight MT Light">
    <w:altName w:val="Segoe Print"/>
    <w:panose1 w:val="0204060206030A020304"/>
    <w:charset w:val="00"/>
    <w:family w:val="roman"/>
    <w:pitch w:val="default"/>
    <w:sig w:usb0="00000000"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创艺简楷体">
    <w:altName w:val="黑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Calisto MT">
    <w:altName w:val="Segoe Print"/>
    <w:panose1 w:val="02040603050505030304"/>
    <w:charset w:val="00"/>
    <w:family w:val="roman"/>
    <w:pitch w:val="default"/>
    <w:sig w:usb0="00000000" w:usb1="00000000" w:usb2="00000000" w:usb3="00000000" w:csb0="20000001" w:csb1="00000000"/>
  </w:font>
  <w:font w:name="仿宋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创艺繁仿宋">
    <w:altName w:val="宋体"/>
    <w:panose1 w:val="00000000000000000000"/>
    <w:charset w:val="86"/>
    <w:family w:val="roman"/>
    <w:pitch w:val="default"/>
    <w:sig w:usb0="00000000" w:usb1="00000000" w:usb2="00000010" w:usb3="00000000" w:csb0="00040000" w:csb1="00000000"/>
  </w:font>
  <w:font w:name="MS Sans Serif">
    <w:altName w:val="Courier New"/>
    <w:panose1 w:val="00000000000000000000"/>
    <w:charset w:val="00"/>
    <w:family w:val="auto"/>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p>
    <w:pPr>
      <w:tabs>
        <w:tab w:val="left" w:pos="1052"/>
      </w:tabs>
      <w:autoSpaceDE w:val="0"/>
      <w:autoSpaceDN w:val="0"/>
      <w:adjustRightInd w:val="0"/>
      <w:spacing w:line="131" w:lineRule="exact"/>
      <w:jc w:val="left"/>
      <w:rPr>
        <w:kern w:val="0"/>
        <w:sz w:val="13"/>
        <w:szCs w:val="13"/>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66</w:t>
    </w:r>
    <w:r>
      <w:rPr>
        <w:b/>
        <w:bCs/>
        <w:sz w:val="24"/>
        <w:szCs w:val="24"/>
      </w:rPr>
      <w:fldChar w:fldCharType="end"/>
    </w:r>
  </w:p>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73"/>
      </w:rPr>
    </w:pPr>
    <w:r>
      <w:fldChar w:fldCharType="begin"/>
    </w:r>
    <w:r>
      <w:rPr>
        <w:rStyle w:val="73"/>
      </w:rPr>
      <w:instrText xml:space="preserve">PAGE  </w:instrText>
    </w:r>
    <w:r>
      <w:fldChar w:fldCharType="separate"/>
    </w:r>
    <w:r>
      <w:rPr>
        <w:rStyle w:val="73"/>
      </w:rPr>
      <w:t>2</w:t>
    </w:r>
    <w:r>
      <w:fldChar w:fldCharType="end"/>
    </w:r>
  </w:p>
  <w:p>
    <w:pPr>
      <w:pStyle w:val="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035140"/>
    </w:sdtPr>
    <w:sdtContent>
      <w:p>
        <w:pPr>
          <w:pStyle w:val="40"/>
          <w:jc w:val="center"/>
        </w:pPr>
        <w:r>
          <w:fldChar w:fldCharType="begin"/>
        </w:r>
        <w:r>
          <w:instrText xml:space="preserve">PAGE   \* MERGEFORMAT</w:instrText>
        </w:r>
        <w:r>
          <w:fldChar w:fldCharType="separate"/>
        </w:r>
        <w:r>
          <w:rPr>
            <w:lang w:val="zh-CN"/>
          </w:rPr>
          <w:t>2</w:t>
        </w:r>
        <w:r>
          <w:fldChar w:fldCharType="end"/>
        </w:r>
      </w:p>
    </w:sdtContent>
  </w:sdt>
  <w:p>
    <w:pPr>
      <w:pStyle w:val="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1607784"/>
    </w:sdtPr>
    <w:sdtContent>
      <w:p>
        <w:pPr>
          <w:pStyle w:val="40"/>
          <w:jc w:val="center"/>
        </w:pPr>
        <w:r>
          <w:fldChar w:fldCharType="begin"/>
        </w:r>
        <w:r>
          <w:instrText xml:space="preserve">PAGE   \* MERGEFORMAT</w:instrText>
        </w:r>
        <w:r>
          <w:fldChar w:fldCharType="separate"/>
        </w:r>
        <w:r>
          <w:rPr>
            <w:lang w:val="zh-CN"/>
          </w:rPr>
          <w:t>2</w:t>
        </w:r>
        <w:r>
          <w:fldChar w:fldCharType="end"/>
        </w:r>
      </w:p>
    </w:sdtContent>
  </w:sdt>
  <w:p>
    <w:pPr>
      <w:tabs>
        <w:tab w:val="left" w:pos="1052"/>
      </w:tabs>
      <w:autoSpaceDE w:val="0"/>
      <w:autoSpaceDN w:val="0"/>
      <w:adjustRightInd w:val="0"/>
      <w:jc w:val="left"/>
      <w:rPr>
        <w:kern w:val="0"/>
        <w:sz w:val="13"/>
        <w:szCs w:val="1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73"/>
      </w:rPr>
    </w:pPr>
    <w:r>
      <w:fldChar w:fldCharType="begin"/>
    </w:r>
    <w:r>
      <w:rPr>
        <w:rStyle w:val="73"/>
      </w:rPr>
      <w:instrText xml:space="preserve">PAGE  </w:instrText>
    </w:r>
    <w:r>
      <w:fldChar w:fldCharType="separate"/>
    </w:r>
    <w:r>
      <w:rPr>
        <w:rStyle w:val="73"/>
      </w:rPr>
      <w:t>20</w:t>
    </w:r>
    <w:r>
      <w:fldChar w:fldCharType="end"/>
    </w:r>
  </w:p>
  <w:p>
    <w:pPr>
      <w:pStyle w:val="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73"/>
      </w:rPr>
    </w:pPr>
    <w:r>
      <w:fldChar w:fldCharType="begin"/>
    </w:r>
    <w:r>
      <w:rPr>
        <w:rStyle w:val="73"/>
      </w:rPr>
      <w:instrText xml:space="preserve">PAGE  </w:instrText>
    </w:r>
    <w:r>
      <w:fldChar w:fldCharType="separate"/>
    </w:r>
    <w:r>
      <w:rPr>
        <w:rStyle w:val="73"/>
      </w:rPr>
      <w:t>22</w:t>
    </w:r>
    <w:r>
      <w:fldChar w:fldCharType="end"/>
    </w:r>
  </w:p>
  <w:p>
    <w:pPr>
      <w:pStyle w:val="4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3"/>
      </w:rPr>
    </w:pPr>
    <w:r>
      <w:fldChar w:fldCharType="begin"/>
    </w:r>
    <w:r>
      <w:rPr>
        <w:rStyle w:val="73"/>
      </w:rPr>
      <w:instrText xml:space="preserve">PAGE  </w:instrText>
    </w:r>
    <w:r>
      <w:fldChar w:fldCharType="end"/>
    </w:r>
  </w:p>
  <w:p>
    <w:pPr>
      <w:pStyle w:val="4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73"/>
      </w:rPr>
    </w:pPr>
    <w:r>
      <w:fldChar w:fldCharType="begin"/>
    </w:r>
    <w:r>
      <w:rPr>
        <w:rStyle w:val="73"/>
      </w:rPr>
      <w:instrText xml:space="preserve">PAGE  </w:instrText>
    </w:r>
    <w:r>
      <w:fldChar w:fldCharType="separate"/>
    </w:r>
    <w:r>
      <w:rPr>
        <w:rStyle w:val="73"/>
      </w:rPr>
      <w:t>58</w:t>
    </w:r>
    <w:r>
      <w:fldChar w:fldCharType="end"/>
    </w:r>
  </w:p>
  <w:p>
    <w:pPr>
      <w:pStyle w:val="4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73"/>
      </w:rPr>
    </w:pPr>
    <w:r>
      <w:fldChar w:fldCharType="begin"/>
    </w:r>
    <w:r>
      <w:rPr>
        <w:rStyle w:val="73"/>
      </w:rPr>
      <w:instrText xml:space="preserve">PAGE  </w:instrText>
    </w:r>
    <w:r>
      <w:fldChar w:fldCharType="end"/>
    </w:r>
  </w:p>
  <w:p>
    <w:pPr>
      <w:pStyle w:val="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center" w:y="1"/>
      <w:rPr>
        <w:rStyle w:val="73"/>
      </w:rPr>
    </w:pPr>
    <w:r>
      <w:fldChar w:fldCharType="begin"/>
    </w:r>
    <w:r>
      <w:rPr>
        <w:rStyle w:val="73"/>
      </w:rPr>
      <w:instrText xml:space="preserve">PAGE  </w:instrText>
    </w:r>
    <w:r>
      <w:fldChar w:fldCharType="end"/>
    </w:r>
  </w:p>
  <w:p>
    <w:pPr>
      <w:pStyle w:val="4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center" w:y="1"/>
      <w:rPr>
        <w:rStyle w:val="73"/>
      </w:rPr>
    </w:pPr>
    <w:r>
      <w:fldChar w:fldCharType="begin"/>
    </w:r>
    <w:r>
      <w:rPr>
        <w:rStyle w:val="73"/>
      </w:rPr>
      <w:instrText xml:space="preserve">PAGE  </w:instrText>
    </w:r>
    <w:r>
      <w:fldChar w:fldCharType="separate"/>
    </w:r>
    <w:r>
      <w:rPr>
        <w:rStyle w:val="73"/>
      </w:rPr>
      <w:t>58</w:t>
    </w:r>
    <w:r>
      <w:fldChar w:fldCharType="end"/>
    </w:r>
  </w:p>
  <w:p>
    <w:pPr>
      <w:pStyle w:val="4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center" w:y="1"/>
      <w:rPr>
        <w:rStyle w:val="73"/>
      </w:rPr>
    </w:pPr>
    <w:r>
      <w:fldChar w:fldCharType="begin"/>
    </w:r>
    <w:r>
      <w:rPr>
        <w:rStyle w:val="73"/>
      </w:rPr>
      <w:instrText xml:space="preserve">PAGE  </w:instrText>
    </w:r>
    <w:r>
      <w:fldChar w:fldCharType="separate"/>
    </w:r>
    <w:r>
      <w:rPr>
        <w:rStyle w:val="73"/>
      </w:rPr>
      <w:t>28</w:t>
    </w:r>
    <w:r>
      <w:fldChar w:fldCharType="end"/>
    </w:r>
  </w:p>
  <w:p>
    <w:pPr>
      <w:pStyle w:val="4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04B391"/>
    <w:multiLevelType w:val="singleLevel"/>
    <w:tmpl w:val="C204B391"/>
    <w:lvl w:ilvl="0" w:tentative="0">
      <w:start w:val="1"/>
      <w:numFmt w:val="decimal"/>
      <w:lvlText w:val="%1."/>
      <w:lvlJc w:val="left"/>
      <w:pPr>
        <w:ind w:left="425" w:hanging="425"/>
      </w:pPr>
      <w:rPr>
        <w:rFonts w:hint="default"/>
      </w:rPr>
    </w:lvl>
  </w:abstractNum>
  <w:abstractNum w:abstractNumId="1">
    <w:nsid w:val="C7D1C28C"/>
    <w:multiLevelType w:val="singleLevel"/>
    <w:tmpl w:val="C7D1C28C"/>
    <w:lvl w:ilvl="0" w:tentative="0">
      <w:start w:val="1"/>
      <w:numFmt w:val="decimal"/>
      <w:lvlText w:val="%1."/>
      <w:lvlJc w:val="left"/>
      <w:pPr>
        <w:tabs>
          <w:tab w:val="left" w:pos="312"/>
        </w:tabs>
      </w:pPr>
    </w:lvl>
  </w:abstractNum>
  <w:abstractNum w:abstractNumId="2">
    <w:nsid w:val="0E53C5CF"/>
    <w:multiLevelType w:val="singleLevel"/>
    <w:tmpl w:val="0E53C5CF"/>
    <w:lvl w:ilvl="0" w:tentative="0">
      <w:start w:val="1"/>
      <w:numFmt w:val="chineseCounting"/>
      <w:suff w:val="space"/>
      <w:lvlText w:val="第%1部分"/>
      <w:lvlJc w:val="left"/>
      <w:rPr>
        <w:rFonts w:hint="eastAsia"/>
      </w:rPr>
    </w:lvl>
  </w:abstractNum>
  <w:abstractNum w:abstractNumId="3">
    <w:nsid w:val="159F233B"/>
    <w:multiLevelType w:val="multilevel"/>
    <w:tmpl w:val="159F233B"/>
    <w:lvl w:ilvl="0" w:tentative="0">
      <w:start w:val="1"/>
      <w:numFmt w:val="decimal"/>
      <w:lvlText w:val="（%1）"/>
      <w:lvlJc w:val="left"/>
      <w:pPr>
        <w:ind w:left="1200" w:hanging="72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4">
    <w:nsid w:val="177AE43E"/>
    <w:multiLevelType w:val="singleLevel"/>
    <w:tmpl w:val="177AE43E"/>
    <w:lvl w:ilvl="0" w:tentative="0">
      <w:start w:val="1"/>
      <w:numFmt w:val="chineseCounting"/>
      <w:suff w:val="nothing"/>
      <w:lvlText w:val="%1、"/>
      <w:lvlJc w:val="left"/>
      <w:rPr>
        <w:rFonts w:hint="eastAsia"/>
      </w:rPr>
    </w:lvl>
  </w:abstractNum>
  <w:abstractNum w:abstractNumId="5">
    <w:nsid w:val="44C227A6"/>
    <w:multiLevelType w:val="singleLevel"/>
    <w:tmpl w:val="44C227A6"/>
    <w:lvl w:ilvl="0" w:tentative="0">
      <w:start w:val="1"/>
      <w:numFmt w:val="decimal"/>
      <w:lvlText w:val="(%1)"/>
      <w:lvlJc w:val="left"/>
      <w:pPr>
        <w:tabs>
          <w:tab w:val="left" w:pos="420"/>
        </w:tabs>
        <w:ind w:left="1938" w:hanging="567"/>
      </w:pPr>
      <w:rPr>
        <w:rFont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kNjE5ODczNTg1MjU3N2FmN2VlY2RjNTRiZGE1YmIifQ=="/>
  </w:docVars>
  <w:rsids>
    <w:rsidRoot w:val="00B8078C"/>
    <w:rsid w:val="00000CA1"/>
    <w:rsid w:val="000021ED"/>
    <w:rsid w:val="00002438"/>
    <w:rsid w:val="00002F1A"/>
    <w:rsid w:val="0000340B"/>
    <w:rsid w:val="0000361A"/>
    <w:rsid w:val="00004655"/>
    <w:rsid w:val="00004709"/>
    <w:rsid w:val="00004933"/>
    <w:rsid w:val="00005012"/>
    <w:rsid w:val="0000613C"/>
    <w:rsid w:val="0000642E"/>
    <w:rsid w:val="00007A51"/>
    <w:rsid w:val="000102EB"/>
    <w:rsid w:val="0001047E"/>
    <w:rsid w:val="00010C2E"/>
    <w:rsid w:val="00010F95"/>
    <w:rsid w:val="000112C0"/>
    <w:rsid w:val="00011809"/>
    <w:rsid w:val="0001212A"/>
    <w:rsid w:val="0001279F"/>
    <w:rsid w:val="000127F2"/>
    <w:rsid w:val="00014458"/>
    <w:rsid w:val="00014812"/>
    <w:rsid w:val="00014A87"/>
    <w:rsid w:val="00016C38"/>
    <w:rsid w:val="00017057"/>
    <w:rsid w:val="00017081"/>
    <w:rsid w:val="00017411"/>
    <w:rsid w:val="00017904"/>
    <w:rsid w:val="00017C00"/>
    <w:rsid w:val="00017C52"/>
    <w:rsid w:val="000200F1"/>
    <w:rsid w:val="00020D85"/>
    <w:rsid w:val="00022025"/>
    <w:rsid w:val="000220E5"/>
    <w:rsid w:val="00022892"/>
    <w:rsid w:val="00022899"/>
    <w:rsid w:val="00022A8C"/>
    <w:rsid w:val="00022E5C"/>
    <w:rsid w:val="00023850"/>
    <w:rsid w:val="00023D92"/>
    <w:rsid w:val="0002438F"/>
    <w:rsid w:val="00024663"/>
    <w:rsid w:val="00024A69"/>
    <w:rsid w:val="00025475"/>
    <w:rsid w:val="00025A02"/>
    <w:rsid w:val="00027069"/>
    <w:rsid w:val="000272D7"/>
    <w:rsid w:val="000279F1"/>
    <w:rsid w:val="00030B99"/>
    <w:rsid w:val="000311E9"/>
    <w:rsid w:val="000312D5"/>
    <w:rsid w:val="00031452"/>
    <w:rsid w:val="00031512"/>
    <w:rsid w:val="00031845"/>
    <w:rsid w:val="00032066"/>
    <w:rsid w:val="00032227"/>
    <w:rsid w:val="00032D25"/>
    <w:rsid w:val="00032E39"/>
    <w:rsid w:val="000330CD"/>
    <w:rsid w:val="00033C59"/>
    <w:rsid w:val="00033EC5"/>
    <w:rsid w:val="00034456"/>
    <w:rsid w:val="0003532B"/>
    <w:rsid w:val="000353A7"/>
    <w:rsid w:val="00035450"/>
    <w:rsid w:val="00035980"/>
    <w:rsid w:val="00035AE9"/>
    <w:rsid w:val="00035CBA"/>
    <w:rsid w:val="0003613D"/>
    <w:rsid w:val="0003681C"/>
    <w:rsid w:val="00036D9C"/>
    <w:rsid w:val="0003752E"/>
    <w:rsid w:val="00037C1D"/>
    <w:rsid w:val="0004019F"/>
    <w:rsid w:val="0004032F"/>
    <w:rsid w:val="0004059B"/>
    <w:rsid w:val="00040CB2"/>
    <w:rsid w:val="000414A0"/>
    <w:rsid w:val="00041849"/>
    <w:rsid w:val="000419F4"/>
    <w:rsid w:val="00041B49"/>
    <w:rsid w:val="00042721"/>
    <w:rsid w:val="000427CA"/>
    <w:rsid w:val="000428BB"/>
    <w:rsid w:val="00042A35"/>
    <w:rsid w:val="00042F6B"/>
    <w:rsid w:val="00043C74"/>
    <w:rsid w:val="000442CF"/>
    <w:rsid w:val="0004440E"/>
    <w:rsid w:val="0004442C"/>
    <w:rsid w:val="000448E9"/>
    <w:rsid w:val="00044AC5"/>
    <w:rsid w:val="00044FC5"/>
    <w:rsid w:val="00045789"/>
    <w:rsid w:val="00046180"/>
    <w:rsid w:val="00046871"/>
    <w:rsid w:val="00046D74"/>
    <w:rsid w:val="00047DC5"/>
    <w:rsid w:val="000503F8"/>
    <w:rsid w:val="0005096D"/>
    <w:rsid w:val="00050A60"/>
    <w:rsid w:val="00051681"/>
    <w:rsid w:val="0005174C"/>
    <w:rsid w:val="00051984"/>
    <w:rsid w:val="000526FA"/>
    <w:rsid w:val="000545E9"/>
    <w:rsid w:val="00054D3A"/>
    <w:rsid w:val="00055EDA"/>
    <w:rsid w:val="00056309"/>
    <w:rsid w:val="00056BEB"/>
    <w:rsid w:val="00056CA2"/>
    <w:rsid w:val="000571F7"/>
    <w:rsid w:val="00060CA2"/>
    <w:rsid w:val="00060FC1"/>
    <w:rsid w:val="00061AAF"/>
    <w:rsid w:val="00061FC0"/>
    <w:rsid w:val="000624FE"/>
    <w:rsid w:val="000625BE"/>
    <w:rsid w:val="0006336E"/>
    <w:rsid w:val="000635B4"/>
    <w:rsid w:val="00064908"/>
    <w:rsid w:val="00064D3C"/>
    <w:rsid w:val="00064F45"/>
    <w:rsid w:val="000660AC"/>
    <w:rsid w:val="00066F4B"/>
    <w:rsid w:val="00067DF1"/>
    <w:rsid w:val="00067F6A"/>
    <w:rsid w:val="00070206"/>
    <w:rsid w:val="000706D1"/>
    <w:rsid w:val="000713CE"/>
    <w:rsid w:val="00072696"/>
    <w:rsid w:val="000735F8"/>
    <w:rsid w:val="00073759"/>
    <w:rsid w:val="00074C78"/>
    <w:rsid w:val="0007511C"/>
    <w:rsid w:val="00075616"/>
    <w:rsid w:val="00075C5D"/>
    <w:rsid w:val="00076F36"/>
    <w:rsid w:val="000774A3"/>
    <w:rsid w:val="000775EA"/>
    <w:rsid w:val="000776FF"/>
    <w:rsid w:val="00077B40"/>
    <w:rsid w:val="00077D3F"/>
    <w:rsid w:val="00077E03"/>
    <w:rsid w:val="000807A7"/>
    <w:rsid w:val="00080CB4"/>
    <w:rsid w:val="00080D34"/>
    <w:rsid w:val="0008114A"/>
    <w:rsid w:val="0008152C"/>
    <w:rsid w:val="00081BBA"/>
    <w:rsid w:val="000822F3"/>
    <w:rsid w:val="00082C4A"/>
    <w:rsid w:val="000830B9"/>
    <w:rsid w:val="00084065"/>
    <w:rsid w:val="00084B84"/>
    <w:rsid w:val="00084E1C"/>
    <w:rsid w:val="00084F17"/>
    <w:rsid w:val="000855FE"/>
    <w:rsid w:val="000859AE"/>
    <w:rsid w:val="000865F6"/>
    <w:rsid w:val="0008697A"/>
    <w:rsid w:val="00087D21"/>
    <w:rsid w:val="00090CEA"/>
    <w:rsid w:val="00091244"/>
    <w:rsid w:val="00091292"/>
    <w:rsid w:val="000912B2"/>
    <w:rsid w:val="0009155A"/>
    <w:rsid w:val="00091946"/>
    <w:rsid w:val="000919F9"/>
    <w:rsid w:val="0009279B"/>
    <w:rsid w:val="00093761"/>
    <w:rsid w:val="0009446F"/>
    <w:rsid w:val="00094691"/>
    <w:rsid w:val="00094F73"/>
    <w:rsid w:val="000952A5"/>
    <w:rsid w:val="000952C4"/>
    <w:rsid w:val="00095C04"/>
    <w:rsid w:val="000967AB"/>
    <w:rsid w:val="00096927"/>
    <w:rsid w:val="00096BF6"/>
    <w:rsid w:val="0009715B"/>
    <w:rsid w:val="00097DD2"/>
    <w:rsid w:val="000A11F4"/>
    <w:rsid w:val="000A13A1"/>
    <w:rsid w:val="000A2530"/>
    <w:rsid w:val="000A34E7"/>
    <w:rsid w:val="000A48C8"/>
    <w:rsid w:val="000A49DF"/>
    <w:rsid w:val="000A4DE5"/>
    <w:rsid w:val="000A4F7E"/>
    <w:rsid w:val="000A51D7"/>
    <w:rsid w:val="000A53E7"/>
    <w:rsid w:val="000A53FE"/>
    <w:rsid w:val="000A697B"/>
    <w:rsid w:val="000A6E4B"/>
    <w:rsid w:val="000A7678"/>
    <w:rsid w:val="000A78B5"/>
    <w:rsid w:val="000A7B7B"/>
    <w:rsid w:val="000A7E92"/>
    <w:rsid w:val="000B2667"/>
    <w:rsid w:val="000B3DF1"/>
    <w:rsid w:val="000B4462"/>
    <w:rsid w:val="000B6035"/>
    <w:rsid w:val="000B604A"/>
    <w:rsid w:val="000B621D"/>
    <w:rsid w:val="000B67C6"/>
    <w:rsid w:val="000B712A"/>
    <w:rsid w:val="000B7326"/>
    <w:rsid w:val="000B7702"/>
    <w:rsid w:val="000C08FA"/>
    <w:rsid w:val="000C0A07"/>
    <w:rsid w:val="000C1A32"/>
    <w:rsid w:val="000C2887"/>
    <w:rsid w:val="000C29F6"/>
    <w:rsid w:val="000C2C26"/>
    <w:rsid w:val="000C3342"/>
    <w:rsid w:val="000C352C"/>
    <w:rsid w:val="000C39B4"/>
    <w:rsid w:val="000C4207"/>
    <w:rsid w:val="000C4B1C"/>
    <w:rsid w:val="000C5ADE"/>
    <w:rsid w:val="000C5E95"/>
    <w:rsid w:val="000C6371"/>
    <w:rsid w:val="000C64DC"/>
    <w:rsid w:val="000C6A60"/>
    <w:rsid w:val="000C75D6"/>
    <w:rsid w:val="000C7EE0"/>
    <w:rsid w:val="000D1661"/>
    <w:rsid w:val="000D18A0"/>
    <w:rsid w:val="000D1AA7"/>
    <w:rsid w:val="000D2606"/>
    <w:rsid w:val="000D271F"/>
    <w:rsid w:val="000D3B3B"/>
    <w:rsid w:val="000D4965"/>
    <w:rsid w:val="000D5A1E"/>
    <w:rsid w:val="000D60AA"/>
    <w:rsid w:val="000D6325"/>
    <w:rsid w:val="000D6411"/>
    <w:rsid w:val="000D674A"/>
    <w:rsid w:val="000D6E38"/>
    <w:rsid w:val="000D6E9C"/>
    <w:rsid w:val="000D72C1"/>
    <w:rsid w:val="000D7AB7"/>
    <w:rsid w:val="000E0361"/>
    <w:rsid w:val="000E11E0"/>
    <w:rsid w:val="000E24E3"/>
    <w:rsid w:val="000E264B"/>
    <w:rsid w:val="000E2E03"/>
    <w:rsid w:val="000E32CC"/>
    <w:rsid w:val="000E39F3"/>
    <w:rsid w:val="000E4475"/>
    <w:rsid w:val="000E4578"/>
    <w:rsid w:val="000E474C"/>
    <w:rsid w:val="000E57CE"/>
    <w:rsid w:val="000E5949"/>
    <w:rsid w:val="000E5958"/>
    <w:rsid w:val="000E5B57"/>
    <w:rsid w:val="000E5E37"/>
    <w:rsid w:val="000E5FEB"/>
    <w:rsid w:val="000E6132"/>
    <w:rsid w:val="000E6304"/>
    <w:rsid w:val="000E6B2A"/>
    <w:rsid w:val="000F0506"/>
    <w:rsid w:val="000F0B5E"/>
    <w:rsid w:val="000F0C90"/>
    <w:rsid w:val="000F19F0"/>
    <w:rsid w:val="000F2B0A"/>
    <w:rsid w:val="000F2B59"/>
    <w:rsid w:val="000F3676"/>
    <w:rsid w:val="000F3809"/>
    <w:rsid w:val="000F3E68"/>
    <w:rsid w:val="000F5143"/>
    <w:rsid w:val="000F5229"/>
    <w:rsid w:val="000F6666"/>
    <w:rsid w:val="000F67BE"/>
    <w:rsid w:val="000F739A"/>
    <w:rsid w:val="000F76C1"/>
    <w:rsid w:val="00100BED"/>
    <w:rsid w:val="00100D6C"/>
    <w:rsid w:val="001022D8"/>
    <w:rsid w:val="0010372C"/>
    <w:rsid w:val="00104222"/>
    <w:rsid w:val="00104A5E"/>
    <w:rsid w:val="00104E72"/>
    <w:rsid w:val="00104EA5"/>
    <w:rsid w:val="001051D9"/>
    <w:rsid w:val="00105201"/>
    <w:rsid w:val="00106109"/>
    <w:rsid w:val="00106AE1"/>
    <w:rsid w:val="00107059"/>
    <w:rsid w:val="00107456"/>
    <w:rsid w:val="00107B28"/>
    <w:rsid w:val="00110A56"/>
    <w:rsid w:val="00111023"/>
    <w:rsid w:val="00111451"/>
    <w:rsid w:val="00111499"/>
    <w:rsid w:val="0011175A"/>
    <w:rsid w:val="00111778"/>
    <w:rsid w:val="001117AC"/>
    <w:rsid w:val="00111C50"/>
    <w:rsid w:val="001123E4"/>
    <w:rsid w:val="00113833"/>
    <w:rsid w:val="001138AA"/>
    <w:rsid w:val="00115529"/>
    <w:rsid w:val="0011567F"/>
    <w:rsid w:val="00116365"/>
    <w:rsid w:val="0011662A"/>
    <w:rsid w:val="00116654"/>
    <w:rsid w:val="00116C23"/>
    <w:rsid w:val="00116DD4"/>
    <w:rsid w:val="001175E1"/>
    <w:rsid w:val="00117A2E"/>
    <w:rsid w:val="00120321"/>
    <w:rsid w:val="00121504"/>
    <w:rsid w:val="0012150B"/>
    <w:rsid w:val="001221C7"/>
    <w:rsid w:val="00122336"/>
    <w:rsid w:val="001234F6"/>
    <w:rsid w:val="001243CE"/>
    <w:rsid w:val="001248AD"/>
    <w:rsid w:val="00124FDA"/>
    <w:rsid w:val="00125226"/>
    <w:rsid w:val="00126C14"/>
    <w:rsid w:val="0012708D"/>
    <w:rsid w:val="00127212"/>
    <w:rsid w:val="0012724D"/>
    <w:rsid w:val="00130256"/>
    <w:rsid w:val="00130526"/>
    <w:rsid w:val="00130A49"/>
    <w:rsid w:val="0013248B"/>
    <w:rsid w:val="00132663"/>
    <w:rsid w:val="00133638"/>
    <w:rsid w:val="00133A9B"/>
    <w:rsid w:val="00133C8D"/>
    <w:rsid w:val="00134B30"/>
    <w:rsid w:val="00135057"/>
    <w:rsid w:val="00135190"/>
    <w:rsid w:val="00135285"/>
    <w:rsid w:val="00135547"/>
    <w:rsid w:val="0013778C"/>
    <w:rsid w:val="0014095A"/>
    <w:rsid w:val="00140AFE"/>
    <w:rsid w:val="00140D4A"/>
    <w:rsid w:val="00141258"/>
    <w:rsid w:val="00141314"/>
    <w:rsid w:val="00141769"/>
    <w:rsid w:val="001429FB"/>
    <w:rsid w:val="00142F0F"/>
    <w:rsid w:val="0014393E"/>
    <w:rsid w:val="00144419"/>
    <w:rsid w:val="00144CD8"/>
    <w:rsid w:val="00144DB7"/>
    <w:rsid w:val="001456F6"/>
    <w:rsid w:val="00146059"/>
    <w:rsid w:val="001461CE"/>
    <w:rsid w:val="00146619"/>
    <w:rsid w:val="00146916"/>
    <w:rsid w:val="00146D42"/>
    <w:rsid w:val="00147BE5"/>
    <w:rsid w:val="00147C24"/>
    <w:rsid w:val="0015024F"/>
    <w:rsid w:val="001505F6"/>
    <w:rsid w:val="0015084A"/>
    <w:rsid w:val="001511DB"/>
    <w:rsid w:val="00151902"/>
    <w:rsid w:val="001531C5"/>
    <w:rsid w:val="00153B73"/>
    <w:rsid w:val="00154D34"/>
    <w:rsid w:val="00154DD9"/>
    <w:rsid w:val="00155D20"/>
    <w:rsid w:val="00155ED4"/>
    <w:rsid w:val="00156AB4"/>
    <w:rsid w:val="00157E40"/>
    <w:rsid w:val="00160447"/>
    <w:rsid w:val="00160527"/>
    <w:rsid w:val="00160716"/>
    <w:rsid w:val="00160788"/>
    <w:rsid w:val="00160C57"/>
    <w:rsid w:val="00160D46"/>
    <w:rsid w:val="00161033"/>
    <w:rsid w:val="001613CC"/>
    <w:rsid w:val="00161635"/>
    <w:rsid w:val="00161779"/>
    <w:rsid w:val="00162364"/>
    <w:rsid w:val="001625DE"/>
    <w:rsid w:val="001625FA"/>
    <w:rsid w:val="0016272F"/>
    <w:rsid w:val="001629F5"/>
    <w:rsid w:val="00163DC0"/>
    <w:rsid w:val="00165265"/>
    <w:rsid w:val="00165855"/>
    <w:rsid w:val="00165A34"/>
    <w:rsid w:val="00170C68"/>
    <w:rsid w:val="00171D3D"/>
    <w:rsid w:val="00171DED"/>
    <w:rsid w:val="00172251"/>
    <w:rsid w:val="001724A6"/>
    <w:rsid w:val="00172727"/>
    <w:rsid w:val="00173195"/>
    <w:rsid w:val="001731C4"/>
    <w:rsid w:val="0017358B"/>
    <w:rsid w:val="00174237"/>
    <w:rsid w:val="00175948"/>
    <w:rsid w:val="00175C6E"/>
    <w:rsid w:val="00180D46"/>
    <w:rsid w:val="00180F9A"/>
    <w:rsid w:val="00181B40"/>
    <w:rsid w:val="00181EFC"/>
    <w:rsid w:val="001824BC"/>
    <w:rsid w:val="001824DA"/>
    <w:rsid w:val="00182E36"/>
    <w:rsid w:val="00182F50"/>
    <w:rsid w:val="0018303F"/>
    <w:rsid w:val="00183A4B"/>
    <w:rsid w:val="00183D2A"/>
    <w:rsid w:val="00185399"/>
    <w:rsid w:val="0018541A"/>
    <w:rsid w:val="00186BD7"/>
    <w:rsid w:val="00186C28"/>
    <w:rsid w:val="001879E3"/>
    <w:rsid w:val="0019063D"/>
    <w:rsid w:val="001912D5"/>
    <w:rsid w:val="00191AC0"/>
    <w:rsid w:val="001935E8"/>
    <w:rsid w:val="001937A2"/>
    <w:rsid w:val="001937B4"/>
    <w:rsid w:val="00194443"/>
    <w:rsid w:val="00194A71"/>
    <w:rsid w:val="00194B2D"/>
    <w:rsid w:val="00194DFE"/>
    <w:rsid w:val="0019607A"/>
    <w:rsid w:val="001960D0"/>
    <w:rsid w:val="0019615D"/>
    <w:rsid w:val="00196174"/>
    <w:rsid w:val="00196320"/>
    <w:rsid w:val="0019657E"/>
    <w:rsid w:val="00196714"/>
    <w:rsid w:val="001A0713"/>
    <w:rsid w:val="001A0BDC"/>
    <w:rsid w:val="001A1940"/>
    <w:rsid w:val="001A1BE6"/>
    <w:rsid w:val="001A1EEF"/>
    <w:rsid w:val="001A20F4"/>
    <w:rsid w:val="001A31CD"/>
    <w:rsid w:val="001A34DD"/>
    <w:rsid w:val="001A36B9"/>
    <w:rsid w:val="001A374E"/>
    <w:rsid w:val="001A3B81"/>
    <w:rsid w:val="001A4065"/>
    <w:rsid w:val="001A45F3"/>
    <w:rsid w:val="001A4FC9"/>
    <w:rsid w:val="001A5777"/>
    <w:rsid w:val="001A625F"/>
    <w:rsid w:val="001A6A7E"/>
    <w:rsid w:val="001A72E6"/>
    <w:rsid w:val="001A7DED"/>
    <w:rsid w:val="001A7F56"/>
    <w:rsid w:val="001B013C"/>
    <w:rsid w:val="001B0282"/>
    <w:rsid w:val="001B16E5"/>
    <w:rsid w:val="001B1E04"/>
    <w:rsid w:val="001B26AB"/>
    <w:rsid w:val="001B39E4"/>
    <w:rsid w:val="001B3AD3"/>
    <w:rsid w:val="001B3BB7"/>
    <w:rsid w:val="001B440E"/>
    <w:rsid w:val="001B478A"/>
    <w:rsid w:val="001B50FA"/>
    <w:rsid w:val="001B5521"/>
    <w:rsid w:val="001B6AAF"/>
    <w:rsid w:val="001B6F19"/>
    <w:rsid w:val="001B752A"/>
    <w:rsid w:val="001B7597"/>
    <w:rsid w:val="001B765E"/>
    <w:rsid w:val="001B7787"/>
    <w:rsid w:val="001B7D01"/>
    <w:rsid w:val="001C0A4B"/>
    <w:rsid w:val="001C1685"/>
    <w:rsid w:val="001C3B20"/>
    <w:rsid w:val="001C3BB4"/>
    <w:rsid w:val="001C40E2"/>
    <w:rsid w:val="001C4C7B"/>
    <w:rsid w:val="001C4F07"/>
    <w:rsid w:val="001C515A"/>
    <w:rsid w:val="001C579A"/>
    <w:rsid w:val="001C609D"/>
    <w:rsid w:val="001C7686"/>
    <w:rsid w:val="001D055A"/>
    <w:rsid w:val="001D0AA2"/>
    <w:rsid w:val="001D0AA7"/>
    <w:rsid w:val="001D0C52"/>
    <w:rsid w:val="001D0D5A"/>
    <w:rsid w:val="001D0F73"/>
    <w:rsid w:val="001D1491"/>
    <w:rsid w:val="001D1A1F"/>
    <w:rsid w:val="001D204E"/>
    <w:rsid w:val="001D2837"/>
    <w:rsid w:val="001D30F1"/>
    <w:rsid w:val="001D3101"/>
    <w:rsid w:val="001D3FE0"/>
    <w:rsid w:val="001D5351"/>
    <w:rsid w:val="001D6307"/>
    <w:rsid w:val="001D69F6"/>
    <w:rsid w:val="001D7117"/>
    <w:rsid w:val="001D7ECB"/>
    <w:rsid w:val="001E0755"/>
    <w:rsid w:val="001E147B"/>
    <w:rsid w:val="001E1F4C"/>
    <w:rsid w:val="001E2A31"/>
    <w:rsid w:val="001E2B40"/>
    <w:rsid w:val="001E3271"/>
    <w:rsid w:val="001E3544"/>
    <w:rsid w:val="001E36CD"/>
    <w:rsid w:val="001E4FE6"/>
    <w:rsid w:val="001E5AA4"/>
    <w:rsid w:val="001E5C35"/>
    <w:rsid w:val="001E5FE9"/>
    <w:rsid w:val="001E6348"/>
    <w:rsid w:val="001E6953"/>
    <w:rsid w:val="001E700F"/>
    <w:rsid w:val="001E702E"/>
    <w:rsid w:val="001E70E4"/>
    <w:rsid w:val="001E71AD"/>
    <w:rsid w:val="001E79DA"/>
    <w:rsid w:val="001F04DD"/>
    <w:rsid w:val="001F0B0C"/>
    <w:rsid w:val="001F1116"/>
    <w:rsid w:val="001F29A4"/>
    <w:rsid w:val="001F3207"/>
    <w:rsid w:val="001F36AA"/>
    <w:rsid w:val="001F39FF"/>
    <w:rsid w:val="001F5009"/>
    <w:rsid w:val="001F614D"/>
    <w:rsid w:val="001F6ECD"/>
    <w:rsid w:val="001F7888"/>
    <w:rsid w:val="001F7CF0"/>
    <w:rsid w:val="00200740"/>
    <w:rsid w:val="00201282"/>
    <w:rsid w:val="00201859"/>
    <w:rsid w:val="002018AC"/>
    <w:rsid w:val="00202AF9"/>
    <w:rsid w:val="002035B9"/>
    <w:rsid w:val="00203C23"/>
    <w:rsid w:val="00203D8B"/>
    <w:rsid w:val="00204598"/>
    <w:rsid w:val="00205130"/>
    <w:rsid w:val="00205B94"/>
    <w:rsid w:val="0020602E"/>
    <w:rsid w:val="00206141"/>
    <w:rsid w:val="0020619D"/>
    <w:rsid w:val="00206409"/>
    <w:rsid w:val="00206EC5"/>
    <w:rsid w:val="00206F53"/>
    <w:rsid w:val="00207762"/>
    <w:rsid w:val="00210400"/>
    <w:rsid w:val="002108F6"/>
    <w:rsid w:val="00210CA1"/>
    <w:rsid w:val="00211A40"/>
    <w:rsid w:val="00212B42"/>
    <w:rsid w:val="00212B91"/>
    <w:rsid w:val="002131F0"/>
    <w:rsid w:val="00213388"/>
    <w:rsid w:val="00213E04"/>
    <w:rsid w:val="00214593"/>
    <w:rsid w:val="00215125"/>
    <w:rsid w:val="002154C5"/>
    <w:rsid w:val="0021582A"/>
    <w:rsid w:val="002174B9"/>
    <w:rsid w:val="0021776E"/>
    <w:rsid w:val="0021792D"/>
    <w:rsid w:val="002179F6"/>
    <w:rsid w:val="00217ABD"/>
    <w:rsid w:val="002202D0"/>
    <w:rsid w:val="00220436"/>
    <w:rsid w:val="0022146B"/>
    <w:rsid w:val="00221AE2"/>
    <w:rsid w:val="00221B76"/>
    <w:rsid w:val="00222CD9"/>
    <w:rsid w:val="00222EEA"/>
    <w:rsid w:val="00224122"/>
    <w:rsid w:val="00224B38"/>
    <w:rsid w:val="0022509E"/>
    <w:rsid w:val="00225663"/>
    <w:rsid w:val="0022567E"/>
    <w:rsid w:val="00225C2D"/>
    <w:rsid w:val="0022618D"/>
    <w:rsid w:val="002266DB"/>
    <w:rsid w:val="00226B07"/>
    <w:rsid w:val="00226E3D"/>
    <w:rsid w:val="00227A49"/>
    <w:rsid w:val="00230213"/>
    <w:rsid w:val="0023046B"/>
    <w:rsid w:val="00230BB4"/>
    <w:rsid w:val="0023151C"/>
    <w:rsid w:val="002316AC"/>
    <w:rsid w:val="002324BD"/>
    <w:rsid w:val="00233307"/>
    <w:rsid w:val="00234DC6"/>
    <w:rsid w:val="00234E44"/>
    <w:rsid w:val="0023542C"/>
    <w:rsid w:val="00235646"/>
    <w:rsid w:val="00235C89"/>
    <w:rsid w:val="00235F93"/>
    <w:rsid w:val="00236C35"/>
    <w:rsid w:val="00236D4F"/>
    <w:rsid w:val="00237458"/>
    <w:rsid w:val="00237F95"/>
    <w:rsid w:val="0024117F"/>
    <w:rsid w:val="002417B8"/>
    <w:rsid w:val="00241B08"/>
    <w:rsid w:val="00243BEE"/>
    <w:rsid w:val="00244A83"/>
    <w:rsid w:val="00244AD5"/>
    <w:rsid w:val="00244AE3"/>
    <w:rsid w:val="00244C19"/>
    <w:rsid w:val="00245ACA"/>
    <w:rsid w:val="002463B1"/>
    <w:rsid w:val="00246EFD"/>
    <w:rsid w:val="00247E40"/>
    <w:rsid w:val="00250A25"/>
    <w:rsid w:val="0025157F"/>
    <w:rsid w:val="0025203B"/>
    <w:rsid w:val="00252110"/>
    <w:rsid w:val="002523CD"/>
    <w:rsid w:val="00252580"/>
    <w:rsid w:val="002528D3"/>
    <w:rsid w:val="002529E9"/>
    <w:rsid w:val="00253859"/>
    <w:rsid w:val="0025476A"/>
    <w:rsid w:val="00254A14"/>
    <w:rsid w:val="00254CF4"/>
    <w:rsid w:val="0025511F"/>
    <w:rsid w:val="002555A3"/>
    <w:rsid w:val="002555EE"/>
    <w:rsid w:val="00255609"/>
    <w:rsid w:val="00255F2C"/>
    <w:rsid w:val="0025607B"/>
    <w:rsid w:val="00256851"/>
    <w:rsid w:val="00257409"/>
    <w:rsid w:val="002574D6"/>
    <w:rsid w:val="0025795E"/>
    <w:rsid w:val="00260E19"/>
    <w:rsid w:val="00260F71"/>
    <w:rsid w:val="00261DDA"/>
    <w:rsid w:val="00262760"/>
    <w:rsid w:val="00263805"/>
    <w:rsid w:val="00263883"/>
    <w:rsid w:val="00263DE1"/>
    <w:rsid w:val="00263EE7"/>
    <w:rsid w:val="002645E7"/>
    <w:rsid w:val="00264A19"/>
    <w:rsid w:val="002654D9"/>
    <w:rsid w:val="002657F0"/>
    <w:rsid w:val="0026637E"/>
    <w:rsid w:val="00266645"/>
    <w:rsid w:val="00266EEE"/>
    <w:rsid w:val="002676E1"/>
    <w:rsid w:val="0026771E"/>
    <w:rsid w:val="002703CF"/>
    <w:rsid w:val="00270BB1"/>
    <w:rsid w:val="00270ED7"/>
    <w:rsid w:val="00271136"/>
    <w:rsid w:val="0027132A"/>
    <w:rsid w:val="002716A5"/>
    <w:rsid w:val="00271757"/>
    <w:rsid w:val="00271B21"/>
    <w:rsid w:val="0027272E"/>
    <w:rsid w:val="002733E2"/>
    <w:rsid w:val="00273D06"/>
    <w:rsid w:val="00274758"/>
    <w:rsid w:val="002747C1"/>
    <w:rsid w:val="002751C8"/>
    <w:rsid w:val="00275225"/>
    <w:rsid w:val="0027530C"/>
    <w:rsid w:val="00275826"/>
    <w:rsid w:val="00275BA2"/>
    <w:rsid w:val="002762EB"/>
    <w:rsid w:val="002766DD"/>
    <w:rsid w:val="00276DF1"/>
    <w:rsid w:val="002776B2"/>
    <w:rsid w:val="00277709"/>
    <w:rsid w:val="00277EBD"/>
    <w:rsid w:val="00280182"/>
    <w:rsid w:val="002808C6"/>
    <w:rsid w:val="002809CB"/>
    <w:rsid w:val="00280CC7"/>
    <w:rsid w:val="00280D73"/>
    <w:rsid w:val="00281305"/>
    <w:rsid w:val="00281C55"/>
    <w:rsid w:val="002832F9"/>
    <w:rsid w:val="00283E09"/>
    <w:rsid w:val="00284088"/>
    <w:rsid w:val="002846C2"/>
    <w:rsid w:val="00284DA2"/>
    <w:rsid w:val="00285E78"/>
    <w:rsid w:val="002904A9"/>
    <w:rsid w:val="00291547"/>
    <w:rsid w:val="0029257F"/>
    <w:rsid w:val="002926E1"/>
    <w:rsid w:val="00292C20"/>
    <w:rsid w:val="0029316D"/>
    <w:rsid w:val="002934EE"/>
    <w:rsid w:val="00295D35"/>
    <w:rsid w:val="00295D90"/>
    <w:rsid w:val="0029612E"/>
    <w:rsid w:val="00296FB9"/>
    <w:rsid w:val="00297375"/>
    <w:rsid w:val="002A01D6"/>
    <w:rsid w:val="002A1084"/>
    <w:rsid w:val="002A1689"/>
    <w:rsid w:val="002A168E"/>
    <w:rsid w:val="002A1783"/>
    <w:rsid w:val="002A1DA4"/>
    <w:rsid w:val="002A2B0D"/>
    <w:rsid w:val="002A2F2B"/>
    <w:rsid w:val="002A3060"/>
    <w:rsid w:val="002A40E0"/>
    <w:rsid w:val="002A5239"/>
    <w:rsid w:val="002A5D18"/>
    <w:rsid w:val="002B009C"/>
    <w:rsid w:val="002B0485"/>
    <w:rsid w:val="002B04A1"/>
    <w:rsid w:val="002B0642"/>
    <w:rsid w:val="002B0C22"/>
    <w:rsid w:val="002B0DC5"/>
    <w:rsid w:val="002B0E2A"/>
    <w:rsid w:val="002B0F9B"/>
    <w:rsid w:val="002B195D"/>
    <w:rsid w:val="002B21B4"/>
    <w:rsid w:val="002B289F"/>
    <w:rsid w:val="002B5299"/>
    <w:rsid w:val="002B5C2C"/>
    <w:rsid w:val="002B6210"/>
    <w:rsid w:val="002B6BE4"/>
    <w:rsid w:val="002B6FEE"/>
    <w:rsid w:val="002B74A2"/>
    <w:rsid w:val="002B7753"/>
    <w:rsid w:val="002B7958"/>
    <w:rsid w:val="002B7AB6"/>
    <w:rsid w:val="002B7DE6"/>
    <w:rsid w:val="002C010B"/>
    <w:rsid w:val="002C0A54"/>
    <w:rsid w:val="002C0B2C"/>
    <w:rsid w:val="002C0BC9"/>
    <w:rsid w:val="002C133B"/>
    <w:rsid w:val="002C141E"/>
    <w:rsid w:val="002C184A"/>
    <w:rsid w:val="002C1E00"/>
    <w:rsid w:val="002C23FE"/>
    <w:rsid w:val="002C2402"/>
    <w:rsid w:val="002C2C39"/>
    <w:rsid w:val="002C32BD"/>
    <w:rsid w:val="002C434C"/>
    <w:rsid w:val="002C4FB1"/>
    <w:rsid w:val="002C5536"/>
    <w:rsid w:val="002C6469"/>
    <w:rsid w:val="002C649A"/>
    <w:rsid w:val="002C7559"/>
    <w:rsid w:val="002C76DD"/>
    <w:rsid w:val="002C770E"/>
    <w:rsid w:val="002D0126"/>
    <w:rsid w:val="002D01E1"/>
    <w:rsid w:val="002D02A9"/>
    <w:rsid w:val="002D0A27"/>
    <w:rsid w:val="002D0B9E"/>
    <w:rsid w:val="002D16D6"/>
    <w:rsid w:val="002D1C06"/>
    <w:rsid w:val="002D23D9"/>
    <w:rsid w:val="002D3066"/>
    <w:rsid w:val="002D38D1"/>
    <w:rsid w:val="002D3B0E"/>
    <w:rsid w:val="002D43CA"/>
    <w:rsid w:val="002D4736"/>
    <w:rsid w:val="002D475B"/>
    <w:rsid w:val="002D4CDC"/>
    <w:rsid w:val="002D4E00"/>
    <w:rsid w:val="002D4F57"/>
    <w:rsid w:val="002D5394"/>
    <w:rsid w:val="002D5FC6"/>
    <w:rsid w:val="002D73DE"/>
    <w:rsid w:val="002D73E4"/>
    <w:rsid w:val="002D74E3"/>
    <w:rsid w:val="002D7A1A"/>
    <w:rsid w:val="002E07D2"/>
    <w:rsid w:val="002E11D5"/>
    <w:rsid w:val="002E1E79"/>
    <w:rsid w:val="002E2577"/>
    <w:rsid w:val="002E4A38"/>
    <w:rsid w:val="002E4F3A"/>
    <w:rsid w:val="002E54BB"/>
    <w:rsid w:val="002E6B22"/>
    <w:rsid w:val="002E6B43"/>
    <w:rsid w:val="002E7AEB"/>
    <w:rsid w:val="002F1305"/>
    <w:rsid w:val="002F1453"/>
    <w:rsid w:val="002F18AC"/>
    <w:rsid w:val="002F1B3C"/>
    <w:rsid w:val="002F2253"/>
    <w:rsid w:val="002F2E73"/>
    <w:rsid w:val="002F39BD"/>
    <w:rsid w:val="002F3D27"/>
    <w:rsid w:val="002F3E52"/>
    <w:rsid w:val="002F3E98"/>
    <w:rsid w:val="002F3EF5"/>
    <w:rsid w:val="002F5ADF"/>
    <w:rsid w:val="002F6641"/>
    <w:rsid w:val="002F7F29"/>
    <w:rsid w:val="00300801"/>
    <w:rsid w:val="00300DD3"/>
    <w:rsid w:val="00301EB8"/>
    <w:rsid w:val="00302025"/>
    <w:rsid w:val="003020FE"/>
    <w:rsid w:val="003026BC"/>
    <w:rsid w:val="00302998"/>
    <w:rsid w:val="00302A1A"/>
    <w:rsid w:val="00302C21"/>
    <w:rsid w:val="00302C37"/>
    <w:rsid w:val="00302D50"/>
    <w:rsid w:val="00303116"/>
    <w:rsid w:val="00303B09"/>
    <w:rsid w:val="00303B26"/>
    <w:rsid w:val="00303F95"/>
    <w:rsid w:val="00304DC7"/>
    <w:rsid w:val="00305081"/>
    <w:rsid w:val="0030565D"/>
    <w:rsid w:val="00306D88"/>
    <w:rsid w:val="00306DBB"/>
    <w:rsid w:val="00307340"/>
    <w:rsid w:val="00310044"/>
    <w:rsid w:val="00311155"/>
    <w:rsid w:val="0031119A"/>
    <w:rsid w:val="0031125B"/>
    <w:rsid w:val="003119C7"/>
    <w:rsid w:val="00312853"/>
    <w:rsid w:val="003129D8"/>
    <w:rsid w:val="003137BF"/>
    <w:rsid w:val="00313A0C"/>
    <w:rsid w:val="0031405B"/>
    <w:rsid w:val="00314672"/>
    <w:rsid w:val="003149D2"/>
    <w:rsid w:val="00314C0F"/>
    <w:rsid w:val="003152E9"/>
    <w:rsid w:val="00315642"/>
    <w:rsid w:val="00315A74"/>
    <w:rsid w:val="00315D6E"/>
    <w:rsid w:val="00315E7C"/>
    <w:rsid w:val="00316423"/>
    <w:rsid w:val="00316CC1"/>
    <w:rsid w:val="00317395"/>
    <w:rsid w:val="00317F4A"/>
    <w:rsid w:val="00320526"/>
    <w:rsid w:val="0032072E"/>
    <w:rsid w:val="00320ADD"/>
    <w:rsid w:val="00321A4C"/>
    <w:rsid w:val="00321DA7"/>
    <w:rsid w:val="00322098"/>
    <w:rsid w:val="0032220A"/>
    <w:rsid w:val="003222DB"/>
    <w:rsid w:val="00323382"/>
    <w:rsid w:val="003236B2"/>
    <w:rsid w:val="00323EBD"/>
    <w:rsid w:val="003247A8"/>
    <w:rsid w:val="00325627"/>
    <w:rsid w:val="00325787"/>
    <w:rsid w:val="00325857"/>
    <w:rsid w:val="00326669"/>
    <w:rsid w:val="00326C62"/>
    <w:rsid w:val="00327304"/>
    <w:rsid w:val="0032792B"/>
    <w:rsid w:val="003300A3"/>
    <w:rsid w:val="00331064"/>
    <w:rsid w:val="003316C7"/>
    <w:rsid w:val="00331D5B"/>
    <w:rsid w:val="00332210"/>
    <w:rsid w:val="003322A1"/>
    <w:rsid w:val="00332665"/>
    <w:rsid w:val="0033337B"/>
    <w:rsid w:val="00333D3E"/>
    <w:rsid w:val="00334044"/>
    <w:rsid w:val="003343F0"/>
    <w:rsid w:val="003349BA"/>
    <w:rsid w:val="00334EE7"/>
    <w:rsid w:val="003356B8"/>
    <w:rsid w:val="00336125"/>
    <w:rsid w:val="00337955"/>
    <w:rsid w:val="00337DE3"/>
    <w:rsid w:val="0034024E"/>
    <w:rsid w:val="003404E7"/>
    <w:rsid w:val="00340B28"/>
    <w:rsid w:val="00340D75"/>
    <w:rsid w:val="00340F57"/>
    <w:rsid w:val="00341A7E"/>
    <w:rsid w:val="00342615"/>
    <w:rsid w:val="0034392F"/>
    <w:rsid w:val="00343A0D"/>
    <w:rsid w:val="00344AE4"/>
    <w:rsid w:val="00344EC4"/>
    <w:rsid w:val="00347512"/>
    <w:rsid w:val="003501F1"/>
    <w:rsid w:val="0035072A"/>
    <w:rsid w:val="00350CB3"/>
    <w:rsid w:val="003512E9"/>
    <w:rsid w:val="003520F3"/>
    <w:rsid w:val="00352383"/>
    <w:rsid w:val="00352675"/>
    <w:rsid w:val="0035269E"/>
    <w:rsid w:val="00352B13"/>
    <w:rsid w:val="00352D77"/>
    <w:rsid w:val="00353530"/>
    <w:rsid w:val="003539A6"/>
    <w:rsid w:val="00353B32"/>
    <w:rsid w:val="00354961"/>
    <w:rsid w:val="0035561B"/>
    <w:rsid w:val="00356001"/>
    <w:rsid w:val="003573A5"/>
    <w:rsid w:val="00360741"/>
    <w:rsid w:val="003607DF"/>
    <w:rsid w:val="00360820"/>
    <w:rsid w:val="00360DFC"/>
    <w:rsid w:val="0036192A"/>
    <w:rsid w:val="00361E5E"/>
    <w:rsid w:val="0036227F"/>
    <w:rsid w:val="00362322"/>
    <w:rsid w:val="003625A7"/>
    <w:rsid w:val="003636ED"/>
    <w:rsid w:val="00363FCD"/>
    <w:rsid w:val="00364479"/>
    <w:rsid w:val="00364763"/>
    <w:rsid w:val="00364C6E"/>
    <w:rsid w:val="003650FE"/>
    <w:rsid w:val="003663B9"/>
    <w:rsid w:val="00366513"/>
    <w:rsid w:val="003667E6"/>
    <w:rsid w:val="00366B6D"/>
    <w:rsid w:val="00367488"/>
    <w:rsid w:val="0036753B"/>
    <w:rsid w:val="003700CA"/>
    <w:rsid w:val="003702CD"/>
    <w:rsid w:val="00370828"/>
    <w:rsid w:val="00371CDF"/>
    <w:rsid w:val="003721EA"/>
    <w:rsid w:val="0037250B"/>
    <w:rsid w:val="00372E82"/>
    <w:rsid w:val="00372F09"/>
    <w:rsid w:val="00374177"/>
    <w:rsid w:val="003749E5"/>
    <w:rsid w:val="003755B4"/>
    <w:rsid w:val="003764BD"/>
    <w:rsid w:val="0037680A"/>
    <w:rsid w:val="0037706F"/>
    <w:rsid w:val="0037748A"/>
    <w:rsid w:val="00377B67"/>
    <w:rsid w:val="00380240"/>
    <w:rsid w:val="00380777"/>
    <w:rsid w:val="00380F9F"/>
    <w:rsid w:val="00381003"/>
    <w:rsid w:val="0038132D"/>
    <w:rsid w:val="00381BAD"/>
    <w:rsid w:val="003831CD"/>
    <w:rsid w:val="00383925"/>
    <w:rsid w:val="003839AB"/>
    <w:rsid w:val="00383A66"/>
    <w:rsid w:val="00383D76"/>
    <w:rsid w:val="0038462C"/>
    <w:rsid w:val="003857E5"/>
    <w:rsid w:val="00385B5C"/>
    <w:rsid w:val="00386AED"/>
    <w:rsid w:val="00386BB8"/>
    <w:rsid w:val="00387478"/>
    <w:rsid w:val="003876DE"/>
    <w:rsid w:val="00390211"/>
    <w:rsid w:val="0039038D"/>
    <w:rsid w:val="00390505"/>
    <w:rsid w:val="003908EE"/>
    <w:rsid w:val="0039097F"/>
    <w:rsid w:val="003919E4"/>
    <w:rsid w:val="00391C7F"/>
    <w:rsid w:val="00391E2E"/>
    <w:rsid w:val="00392DF9"/>
    <w:rsid w:val="00393463"/>
    <w:rsid w:val="003935C4"/>
    <w:rsid w:val="00395380"/>
    <w:rsid w:val="0039657D"/>
    <w:rsid w:val="003969F9"/>
    <w:rsid w:val="003A0396"/>
    <w:rsid w:val="003A050F"/>
    <w:rsid w:val="003A08AE"/>
    <w:rsid w:val="003A18A2"/>
    <w:rsid w:val="003A3EAF"/>
    <w:rsid w:val="003A4A72"/>
    <w:rsid w:val="003A5A73"/>
    <w:rsid w:val="003A5EA8"/>
    <w:rsid w:val="003A6C27"/>
    <w:rsid w:val="003A7318"/>
    <w:rsid w:val="003A74C4"/>
    <w:rsid w:val="003B00AF"/>
    <w:rsid w:val="003B0DC8"/>
    <w:rsid w:val="003B1ED7"/>
    <w:rsid w:val="003B27B3"/>
    <w:rsid w:val="003B307B"/>
    <w:rsid w:val="003B492C"/>
    <w:rsid w:val="003B4C8C"/>
    <w:rsid w:val="003B4DE3"/>
    <w:rsid w:val="003B68F8"/>
    <w:rsid w:val="003B6E17"/>
    <w:rsid w:val="003B78BA"/>
    <w:rsid w:val="003B7C43"/>
    <w:rsid w:val="003C0184"/>
    <w:rsid w:val="003C1747"/>
    <w:rsid w:val="003C2133"/>
    <w:rsid w:val="003C3DFA"/>
    <w:rsid w:val="003C4431"/>
    <w:rsid w:val="003C518B"/>
    <w:rsid w:val="003C5967"/>
    <w:rsid w:val="003C6060"/>
    <w:rsid w:val="003C61DA"/>
    <w:rsid w:val="003C6F00"/>
    <w:rsid w:val="003C7BA8"/>
    <w:rsid w:val="003D0678"/>
    <w:rsid w:val="003D0B03"/>
    <w:rsid w:val="003D0CB1"/>
    <w:rsid w:val="003D0F03"/>
    <w:rsid w:val="003D1373"/>
    <w:rsid w:val="003D137D"/>
    <w:rsid w:val="003D1D77"/>
    <w:rsid w:val="003D21A5"/>
    <w:rsid w:val="003D26A9"/>
    <w:rsid w:val="003D2CFB"/>
    <w:rsid w:val="003D4291"/>
    <w:rsid w:val="003D48A1"/>
    <w:rsid w:val="003D520C"/>
    <w:rsid w:val="003D59BE"/>
    <w:rsid w:val="003D793F"/>
    <w:rsid w:val="003D7BD4"/>
    <w:rsid w:val="003E19E5"/>
    <w:rsid w:val="003E259E"/>
    <w:rsid w:val="003E281F"/>
    <w:rsid w:val="003E3C74"/>
    <w:rsid w:val="003E516A"/>
    <w:rsid w:val="003E52E1"/>
    <w:rsid w:val="003E5AC9"/>
    <w:rsid w:val="003E5B8C"/>
    <w:rsid w:val="003E5CB6"/>
    <w:rsid w:val="003E62BD"/>
    <w:rsid w:val="003E691C"/>
    <w:rsid w:val="003E6D12"/>
    <w:rsid w:val="003E70C1"/>
    <w:rsid w:val="003E7DB8"/>
    <w:rsid w:val="003F0080"/>
    <w:rsid w:val="003F0B60"/>
    <w:rsid w:val="003F1046"/>
    <w:rsid w:val="003F1A7D"/>
    <w:rsid w:val="003F21E2"/>
    <w:rsid w:val="003F2341"/>
    <w:rsid w:val="003F2B89"/>
    <w:rsid w:val="003F3136"/>
    <w:rsid w:val="003F3335"/>
    <w:rsid w:val="003F405D"/>
    <w:rsid w:val="003F4655"/>
    <w:rsid w:val="003F4AE5"/>
    <w:rsid w:val="003F51F2"/>
    <w:rsid w:val="003F5F8D"/>
    <w:rsid w:val="003F633C"/>
    <w:rsid w:val="003F663F"/>
    <w:rsid w:val="003F6B0C"/>
    <w:rsid w:val="003F7223"/>
    <w:rsid w:val="003F7421"/>
    <w:rsid w:val="003F79E3"/>
    <w:rsid w:val="003F7CB5"/>
    <w:rsid w:val="0040002D"/>
    <w:rsid w:val="004009D2"/>
    <w:rsid w:val="0040139B"/>
    <w:rsid w:val="00401CDB"/>
    <w:rsid w:val="0040300E"/>
    <w:rsid w:val="00404BBD"/>
    <w:rsid w:val="00404DEC"/>
    <w:rsid w:val="00405636"/>
    <w:rsid w:val="00405DBC"/>
    <w:rsid w:val="00405E47"/>
    <w:rsid w:val="004069BE"/>
    <w:rsid w:val="00406BD3"/>
    <w:rsid w:val="004117A8"/>
    <w:rsid w:val="00411A24"/>
    <w:rsid w:val="0041211E"/>
    <w:rsid w:val="0041295B"/>
    <w:rsid w:val="0041296E"/>
    <w:rsid w:val="0041297E"/>
    <w:rsid w:val="0041356C"/>
    <w:rsid w:val="004159E4"/>
    <w:rsid w:val="004162DF"/>
    <w:rsid w:val="00416856"/>
    <w:rsid w:val="004175C2"/>
    <w:rsid w:val="00420623"/>
    <w:rsid w:val="00420B64"/>
    <w:rsid w:val="00420F6F"/>
    <w:rsid w:val="0042124D"/>
    <w:rsid w:val="00421EC3"/>
    <w:rsid w:val="004227A1"/>
    <w:rsid w:val="00422F3E"/>
    <w:rsid w:val="004236D1"/>
    <w:rsid w:val="00423AF3"/>
    <w:rsid w:val="00423B2A"/>
    <w:rsid w:val="004241A0"/>
    <w:rsid w:val="00424353"/>
    <w:rsid w:val="004246D2"/>
    <w:rsid w:val="00424777"/>
    <w:rsid w:val="00424AEC"/>
    <w:rsid w:val="00424FBD"/>
    <w:rsid w:val="004250BE"/>
    <w:rsid w:val="00425CE1"/>
    <w:rsid w:val="004270FF"/>
    <w:rsid w:val="00427361"/>
    <w:rsid w:val="0042792E"/>
    <w:rsid w:val="004302D2"/>
    <w:rsid w:val="00430D8E"/>
    <w:rsid w:val="00431095"/>
    <w:rsid w:val="004310D5"/>
    <w:rsid w:val="0043127C"/>
    <w:rsid w:val="00431F38"/>
    <w:rsid w:val="00432005"/>
    <w:rsid w:val="00432333"/>
    <w:rsid w:val="00432572"/>
    <w:rsid w:val="00432603"/>
    <w:rsid w:val="00432FDD"/>
    <w:rsid w:val="004331CC"/>
    <w:rsid w:val="004334FC"/>
    <w:rsid w:val="00433E21"/>
    <w:rsid w:val="00433F5E"/>
    <w:rsid w:val="0043505A"/>
    <w:rsid w:val="004357F8"/>
    <w:rsid w:val="004359AE"/>
    <w:rsid w:val="0043625F"/>
    <w:rsid w:val="00436B30"/>
    <w:rsid w:val="0043746C"/>
    <w:rsid w:val="0044033E"/>
    <w:rsid w:val="00440672"/>
    <w:rsid w:val="00441914"/>
    <w:rsid w:val="00442000"/>
    <w:rsid w:val="004423D2"/>
    <w:rsid w:val="00442418"/>
    <w:rsid w:val="004433C2"/>
    <w:rsid w:val="0044343A"/>
    <w:rsid w:val="00444A0C"/>
    <w:rsid w:val="0044540A"/>
    <w:rsid w:val="00445C8A"/>
    <w:rsid w:val="00447103"/>
    <w:rsid w:val="00447893"/>
    <w:rsid w:val="00450142"/>
    <w:rsid w:val="004502B9"/>
    <w:rsid w:val="0045078A"/>
    <w:rsid w:val="004513EA"/>
    <w:rsid w:val="00451A2C"/>
    <w:rsid w:val="00451BF5"/>
    <w:rsid w:val="00451DC0"/>
    <w:rsid w:val="00451E4E"/>
    <w:rsid w:val="00451FBE"/>
    <w:rsid w:val="00453AC5"/>
    <w:rsid w:val="00453B54"/>
    <w:rsid w:val="00454139"/>
    <w:rsid w:val="004547BA"/>
    <w:rsid w:val="00454CCD"/>
    <w:rsid w:val="00454FF6"/>
    <w:rsid w:val="00455866"/>
    <w:rsid w:val="00455A73"/>
    <w:rsid w:val="00455BFF"/>
    <w:rsid w:val="00456359"/>
    <w:rsid w:val="0045653E"/>
    <w:rsid w:val="00456C70"/>
    <w:rsid w:val="00456DA5"/>
    <w:rsid w:val="0045745C"/>
    <w:rsid w:val="004603E7"/>
    <w:rsid w:val="0046058B"/>
    <w:rsid w:val="004608FF"/>
    <w:rsid w:val="004616C1"/>
    <w:rsid w:val="0046259A"/>
    <w:rsid w:val="00463CE1"/>
    <w:rsid w:val="004641C2"/>
    <w:rsid w:val="004653DB"/>
    <w:rsid w:val="0046550E"/>
    <w:rsid w:val="0046559A"/>
    <w:rsid w:val="0046568B"/>
    <w:rsid w:val="00467444"/>
    <w:rsid w:val="00467ADB"/>
    <w:rsid w:val="00470FC2"/>
    <w:rsid w:val="0047111F"/>
    <w:rsid w:val="00471240"/>
    <w:rsid w:val="004712D8"/>
    <w:rsid w:val="00471672"/>
    <w:rsid w:val="0047217A"/>
    <w:rsid w:val="00472CED"/>
    <w:rsid w:val="004732B7"/>
    <w:rsid w:val="0047368E"/>
    <w:rsid w:val="00473B4C"/>
    <w:rsid w:val="00473C89"/>
    <w:rsid w:val="00473E49"/>
    <w:rsid w:val="00474214"/>
    <w:rsid w:val="004753EB"/>
    <w:rsid w:val="0047548E"/>
    <w:rsid w:val="00475881"/>
    <w:rsid w:val="00475E10"/>
    <w:rsid w:val="00476992"/>
    <w:rsid w:val="0047793A"/>
    <w:rsid w:val="00477ABB"/>
    <w:rsid w:val="00477FF6"/>
    <w:rsid w:val="00481342"/>
    <w:rsid w:val="004817A0"/>
    <w:rsid w:val="00482327"/>
    <w:rsid w:val="00483A3E"/>
    <w:rsid w:val="004854C9"/>
    <w:rsid w:val="00485A8E"/>
    <w:rsid w:val="00485EA4"/>
    <w:rsid w:val="00485F64"/>
    <w:rsid w:val="00486B13"/>
    <w:rsid w:val="00487596"/>
    <w:rsid w:val="004875C0"/>
    <w:rsid w:val="004877B6"/>
    <w:rsid w:val="00492165"/>
    <w:rsid w:val="00492920"/>
    <w:rsid w:val="004938AA"/>
    <w:rsid w:val="00493C5E"/>
    <w:rsid w:val="00493E32"/>
    <w:rsid w:val="004941D3"/>
    <w:rsid w:val="00494E3D"/>
    <w:rsid w:val="00496E7A"/>
    <w:rsid w:val="00497755"/>
    <w:rsid w:val="00497B95"/>
    <w:rsid w:val="00497FF7"/>
    <w:rsid w:val="004A06E4"/>
    <w:rsid w:val="004A0840"/>
    <w:rsid w:val="004A0D7A"/>
    <w:rsid w:val="004A176C"/>
    <w:rsid w:val="004A19B8"/>
    <w:rsid w:val="004A2808"/>
    <w:rsid w:val="004A2C62"/>
    <w:rsid w:val="004A3757"/>
    <w:rsid w:val="004A3F7A"/>
    <w:rsid w:val="004A49A3"/>
    <w:rsid w:val="004A4BCA"/>
    <w:rsid w:val="004A5C19"/>
    <w:rsid w:val="004A609A"/>
    <w:rsid w:val="004A670A"/>
    <w:rsid w:val="004A68C3"/>
    <w:rsid w:val="004A7116"/>
    <w:rsid w:val="004A7428"/>
    <w:rsid w:val="004A79D1"/>
    <w:rsid w:val="004A7BDB"/>
    <w:rsid w:val="004A7F60"/>
    <w:rsid w:val="004B0330"/>
    <w:rsid w:val="004B076F"/>
    <w:rsid w:val="004B16D0"/>
    <w:rsid w:val="004B1D58"/>
    <w:rsid w:val="004B216B"/>
    <w:rsid w:val="004B2229"/>
    <w:rsid w:val="004B2FC1"/>
    <w:rsid w:val="004B3D4A"/>
    <w:rsid w:val="004B3F3C"/>
    <w:rsid w:val="004B41C6"/>
    <w:rsid w:val="004B4706"/>
    <w:rsid w:val="004B48A7"/>
    <w:rsid w:val="004B6987"/>
    <w:rsid w:val="004B69FD"/>
    <w:rsid w:val="004B6F59"/>
    <w:rsid w:val="004B70FB"/>
    <w:rsid w:val="004B77E0"/>
    <w:rsid w:val="004C03ED"/>
    <w:rsid w:val="004C0D51"/>
    <w:rsid w:val="004C164E"/>
    <w:rsid w:val="004C1EC6"/>
    <w:rsid w:val="004C3038"/>
    <w:rsid w:val="004C3484"/>
    <w:rsid w:val="004C3FFF"/>
    <w:rsid w:val="004C41BA"/>
    <w:rsid w:val="004C41F0"/>
    <w:rsid w:val="004C42CD"/>
    <w:rsid w:val="004C514E"/>
    <w:rsid w:val="004C5C6D"/>
    <w:rsid w:val="004C5D69"/>
    <w:rsid w:val="004C6AA5"/>
    <w:rsid w:val="004D157D"/>
    <w:rsid w:val="004D2043"/>
    <w:rsid w:val="004D2777"/>
    <w:rsid w:val="004D2FF1"/>
    <w:rsid w:val="004D3066"/>
    <w:rsid w:val="004D453D"/>
    <w:rsid w:val="004D5172"/>
    <w:rsid w:val="004D5503"/>
    <w:rsid w:val="004D5571"/>
    <w:rsid w:val="004D5587"/>
    <w:rsid w:val="004D571E"/>
    <w:rsid w:val="004D58DA"/>
    <w:rsid w:val="004D6BDD"/>
    <w:rsid w:val="004D71DF"/>
    <w:rsid w:val="004D74A9"/>
    <w:rsid w:val="004D7555"/>
    <w:rsid w:val="004D7FDB"/>
    <w:rsid w:val="004E01C7"/>
    <w:rsid w:val="004E2364"/>
    <w:rsid w:val="004E258E"/>
    <w:rsid w:val="004E2591"/>
    <w:rsid w:val="004E2B52"/>
    <w:rsid w:val="004E2BCB"/>
    <w:rsid w:val="004E35B5"/>
    <w:rsid w:val="004E4371"/>
    <w:rsid w:val="004E486C"/>
    <w:rsid w:val="004E49FB"/>
    <w:rsid w:val="004E51EC"/>
    <w:rsid w:val="004E5CF5"/>
    <w:rsid w:val="004E633A"/>
    <w:rsid w:val="004E6680"/>
    <w:rsid w:val="004E690D"/>
    <w:rsid w:val="004E6B6C"/>
    <w:rsid w:val="004E6F22"/>
    <w:rsid w:val="004E7BDF"/>
    <w:rsid w:val="004F00C8"/>
    <w:rsid w:val="004F06E8"/>
    <w:rsid w:val="004F0BAA"/>
    <w:rsid w:val="004F13AF"/>
    <w:rsid w:val="004F13E4"/>
    <w:rsid w:val="004F167E"/>
    <w:rsid w:val="004F243F"/>
    <w:rsid w:val="004F2440"/>
    <w:rsid w:val="004F2BDE"/>
    <w:rsid w:val="004F3225"/>
    <w:rsid w:val="004F43DD"/>
    <w:rsid w:val="004F7104"/>
    <w:rsid w:val="004F72D8"/>
    <w:rsid w:val="004F7CCF"/>
    <w:rsid w:val="00500224"/>
    <w:rsid w:val="00500701"/>
    <w:rsid w:val="00500D21"/>
    <w:rsid w:val="00501473"/>
    <w:rsid w:val="005021E5"/>
    <w:rsid w:val="00504540"/>
    <w:rsid w:val="00504AF3"/>
    <w:rsid w:val="00506935"/>
    <w:rsid w:val="005070F1"/>
    <w:rsid w:val="00507783"/>
    <w:rsid w:val="005077AC"/>
    <w:rsid w:val="00507AAA"/>
    <w:rsid w:val="00507BA7"/>
    <w:rsid w:val="00507D52"/>
    <w:rsid w:val="00507DA4"/>
    <w:rsid w:val="005107D8"/>
    <w:rsid w:val="00510850"/>
    <w:rsid w:val="00511772"/>
    <w:rsid w:val="0051183A"/>
    <w:rsid w:val="005129DB"/>
    <w:rsid w:val="00512E7B"/>
    <w:rsid w:val="0051337D"/>
    <w:rsid w:val="00513CB9"/>
    <w:rsid w:val="005150F1"/>
    <w:rsid w:val="00515813"/>
    <w:rsid w:val="00515F2F"/>
    <w:rsid w:val="00516D8D"/>
    <w:rsid w:val="005171BE"/>
    <w:rsid w:val="00517488"/>
    <w:rsid w:val="0051770E"/>
    <w:rsid w:val="00517A3F"/>
    <w:rsid w:val="00517B27"/>
    <w:rsid w:val="0052040D"/>
    <w:rsid w:val="00520962"/>
    <w:rsid w:val="00521439"/>
    <w:rsid w:val="00521D0B"/>
    <w:rsid w:val="005225EC"/>
    <w:rsid w:val="00522B63"/>
    <w:rsid w:val="00522F29"/>
    <w:rsid w:val="00522F87"/>
    <w:rsid w:val="00523596"/>
    <w:rsid w:val="0052411C"/>
    <w:rsid w:val="00524756"/>
    <w:rsid w:val="00524778"/>
    <w:rsid w:val="0052494A"/>
    <w:rsid w:val="00524F67"/>
    <w:rsid w:val="00525204"/>
    <w:rsid w:val="00525921"/>
    <w:rsid w:val="005259C8"/>
    <w:rsid w:val="00526502"/>
    <w:rsid w:val="00526F52"/>
    <w:rsid w:val="00527EAD"/>
    <w:rsid w:val="00530029"/>
    <w:rsid w:val="00530619"/>
    <w:rsid w:val="00531309"/>
    <w:rsid w:val="00531870"/>
    <w:rsid w:val="00531FAB"/>
    <w:rsid w:val="00532113"/>
    <w:rsid w:val="00532480"/>
    <w:rsid w:val="00532AC9"/>
    <w:rsid w:val="00532DA5"/>
    <w:rsid w:val="00532EBC"/>
    <w:rsid w:val="005338A8"/>
    <w:rsid w:val="00534163"/>
    <w:rsid w:val="005345A2"/>
    <w:rsid w:val="00534BE8"/>
    <w:rsid w:val="00535661"/>
    <w:rsid w:val="00535FD7"/>
    <w:rsid w:val="005361E6"/>
    <w:rsid w:val="00536CD4"/>
    <w:rsid w:val="00536DAF"/>
    <w:rsid w:val="00537421"/>
    <w:rsid w:val="00537637"/>
    <w:rsid w:val="00537F20"/>
    <w:rsid w:val="00540277"/>
    <w:rsid w:val="00540ADF"/>
    <w:rsid w:val="005420E6"/>
    <w:rsid w:val="0054285F"/>
    <w:rsid w:val="005430ED"/>
    <w:rsid w:val="0054369E"/>
    <w:rsid w:val="0054480B"/>
    <w:rsid w:val="00545963"/>
    <w:rsid w:val="005461BA"/>
    <w:rsid w:val="00546BC1"/>
    <w:rsid w:val="00547437"/>
    <w:rsid w:val="005505F1"/>
    <w:rsid w:val="005506FF"/>
    <w:rsid w:val="00550B40"/>
    <w:rsid w:val="00550D1F"/>
    <w:rsid w:val="0055117C"/>
    <w:rsid w:val="005513DA"/>
    <w:rsid w:val="00551911"/>
    <w:rsid w:val="00552349"/>
    <w:rsid w:val="005523B2"/>
    <w:rsid w:val="0055352A"/>
    <w:rsid w:val="005536EC"/>
    <w:rsid w:val="005545C8"/>
    <w:rsid w:val="00556160"/>
    <w:rsid w:val="005562D7"/>
    <w:rsid w:val="00556C62"/>
    <w:rsid w:val="00556ED0"/>
    <w:rsid w:val="00557F28"/>
    <w:rsid w:val="0056011B"/>
    <w:rsid w:val="00560E7B"/>
    <w:rsid w:val="00562818"/>
    <w:rsid w:val="00562CFA"/>
    <w:rsid w:val="00563266"/>
    <w:rsid w:val="0056342E"/>
    <w:rsid w:val="00563DE5"/>
    <w:rsid w:val="00563FB1"/>
    <w:rsid w:val="00564992"/>
    <w:rsid w:val="00564B49"/>
    <w:rsid w:val="00564BE7"/>
    <w:rsid w:val="0057004B"/>
    <w:rsid w:val="00570D6A"/>
    <w:rsid w:val="00571AE2"/>
    <w:rsid w:val="005721D8"/>
    <w:rsid w:val="0057220A"/>
    <w:rsid w:val="0057253E"/>
    <w:rsid w:val="00572948"/>
    <w:rsid w:val="00572AB4"/>
    <w:rsid w:val="00573B3E"/>
    <w:rsid w:val="005745D1"/>
    <w:rsid w:val="0057592C"/>
    <w:rsid w:val="00575A80"/>
    <w:rsid w:val="0057697C"/>
    <w:rsid w:val="00576AE1"/>
    <w:rsid w:val="00576B6F"/>
    <w:rsid w:val="00576E19"/>
    <w:rsid w:val="005771DF"/>
    <w:rsid w:val="00577C63"/>
    <w:rsid w:val="00577C8D"/>
    <w:rsid w:val="00582810"/>
    <w:rsid w:val="00582FC9"/>
    <w:rsid w:val="0058317C"/>
    <w:rsid w:val="00583E33"/>
    <w:rsid w:val="00583EAC"/>
    <w:rsid w:val="00586208"/>
    <w:rsid w:val="005869CF"/>
    <w:rsid w:val="00586A08"/>
    <w:rsid w:val="00586A97"/>
    <w:rsid w:val="00586ED3"/>
    <w:rsid w:val="005879F0"/>
    <w:rsid w:val="00587F8C"/>
    <w:rsid w:val="00590D33"/>
    <w:rsid w:val="00590FE4"/>
    <w:rsid w:val="00591116"/>
    <w:rsid w:val="00591D72"/>
    <w:rsid w:val="0059316F"/>
    <w:rsid w:val="00594590"/>
    <w:rsid w:val="00594A2E"/>
    <w:rsid w:val="0059508A"/>
    <w:rsid w:val="0059675D"/>
    <w:rsid w:val="00596AC4"/>
    <w:rsid w:val="005970EC"/>
    <w:rsid w:val="00597B23"/>
    <w:rsid w:val="00597E2C"/>
    <w:rsid w:val="005A075B"/>
    <w:rsid w:val="005A0D81"/>
    <w:rsid w:val="005A0F0A"/>
    <w:rsid w:val="005A1C67"/>
    <w:rsid w:val="005A1E56"/>
    <w:rsid w:val="005A2434"/>
    <w:rsid w:val="005A2560"/>
    <w:rsid w:val="005A278A"/>
    <w:rsid w:val="005A2C5E"/>
    <w:rsid w:val="005A3569"/>
    <w:rsid w:val="005A362D"/>
    <w:rsid w:val="005A3DCC"/>
    <w:rsid w:val="005A420B"/>
    <w:rsid w:val="005A4F44"/>
    <w:rsid w:val="005A6C7E"/>
    <w:rsid w:val="005A6E84"/>
    <w:rsid w:val="005A70C7"/>
    <w:rsid w:val="005B042D"/>
    <w:rsid w:val="005B0EC9"/>
    <w:rsid w:val="005B37D7"/>
    <w:rsid w:val="005B3CF0"/>
    <w:rsid w:val="005B45CC"/>
    <w:rsid w:val="005B4ACE"/>
    <w:rsid w:val="005B4E89"/>
    <w:rsid w:val="005B56CB"/>
    <w:rsid w:val="005B56E0"/>
    <w:rsid w:val="005B58AA"/>
    <w:rsid w:val="005B5AD7"/>
    <w:rsid w:val="005B5E96"/>
    <w:rsid w:val="005B6AEA"/>
    <w:rsid w:val="005B7020"/>
    <w:rsid w:val="005B7174"/>
    <w:rsid w:val="005B7E2E"/>
    <w:rsid w:val="005C0A83"/>
    <w:rsid w:val="005C1065"/>
    <w:rsid w:val="005C1C3F"/>
    <w:rsid w:val="005C1E63"/>
    <w:rsid w:val="005C2065"/>
    <w:rsid w:val="005C2B26"/>
    <w:rsid w:val="005C3F86"/>
    <w:rsid w:val="005C3FBA"/>
    <w:rsid w:val="005C427A"/>
    <w:rsid w:val="005C484D"/>
    <w:rsid w:val="005C5061"/>
    <w:rsid w:val="005C577B"/>
    <w:rsid w:val="005C584D"/>
    <w:rsid w:val="005C5A34"/>
    <w:rsid w:val="005C64E7"/>
    <w:rsid w:val="005C69AA"/>
    <w:rsid w:val="005C6A2F"/>
    <w:rsid w:val="005C7DC4"/>
    <w:rsid w:val="005D0495"/>
    <w:rsid w:val="005D05DE"/>
    <w:rsid w:val="005D1485"/>
    <w:rsid w:val="005D1988"/>
    <w:rsid w:val="005D21E6"/>
    <w:rsid w:val="005D252B"/>
    <w:rsid w:val="005D264E"/>
    <w:rsid w:val="005D281D"/>
    <w:rsid w:val="005D328F"/>
    <w:rsid w:val="005D3A67"/>
    <w:rsid w:val="005D3CAD"/>
    <w:rsid w:val="005D4425"/>
    <w:rsid w:val="005D477C"/>
    <w:rsid w:val="005D498B"/>
    <w:rsid w:val="005D4A11"/>
    <w:rsid w:val="005D4D70"/>
    <w:rsid w:val="005D4DEF"/>
    <w:rsid w:val="005D54F8"/>
    <w:rsid w:val="005D62F2"/>
    <w:rsid w:val="005E006A"/>
    <w:rsid w:val="005E0C82"/>
    <w:rsid w:val="005E1577"/>
    <w:rsid w:val="005E176B"/>
    <w:rsid w:val="005E1F16"/>
    <w:rsid w:val="005E1F8C"/>
    <w:rsid w:val="005E23FA"/>
    <w:rsid w:val="005E248A"/>
    <w:rsid w:val="005E2F3D"/>
    <w:rsid w:val="005E3287"/>
    <w:rsid w:val="005E3936"/>
    <w:rsid w:val="005E3DDC"/>
    <w:rsid w:val="005E44A1"/>
    <w:rsid w:val="005E4969"/>
    <w:rsid w:val="005E50BF"/>
    <w:rsid w:val="005E51D2"/>
    <w:rsid w:val="005E52CA"/>
    <w:rsid w:val="005E5D19"/>
    <w:rsid w:val="005E661E"/>
    <w:rsid w:val="005E6756"/>
    <w:rsid w:val="005E699A"/>
    <w:rsid w:val="005E6A5A"/>
    <w:rsid w:val="005E71BC"/>
    <w:rsid w:val="005E72E8"/>
    <w:rsid w:val="005E7679"/>
    <w:rsid w:val="005F0C2D"/>
    <w:rsid w:val="005F1090"/>
    <w:rsid w:val="005F14C0"/>
    <w:rsid w:val="005F1786"/>
    <w:rsid w:val="005F1E36"/>
    <w:rsid w:val="005F20FE"/>
    <w:rsid w:val="005F2344"/>
    <w:rsid w:val="005F2686"/>
    <w:rsid w:val="005F2E16"/>
    <w:rsid w:val="005F304C"/>
    <w:rsid w:val="005F3F5E"/>
    <w:rsid w:val="005F3FD7"/>
    <w:rsid w:val="005F472D"/>
    <w:rsid w:val="005F54F0"/>
    <w:rsid w:val="005F55A8"/>
    <w:rsid w:val="005F59A5"/>
    <w:rsid w:val="005F6B22"/>
    <w:rsid w:val="005F6C64"/>
    <w:rsid w:val="005F7016"/>
    <w:rsid w:val="00600009"/>
    <w:rsid w:val="006011A2"/>
    <w:rsid w:val="006016A3"/>
    <w:rsid w:val="00601700"/>
    <w:rsid w:val="006019B5"/>
    <w:rsid w:val="00601E6B"/>
    <w:rsid w:val="00602612"/>
    <w:rsid w:val="00602B03"/>
    <w:rsid w:val="00603A9C"/>
    <w:rsid w:val="00603B39"/>
    <w:rsid w:val="00604166"/>
    <w:rsid w:val="00604236"/>
    <w:rsid w:val="00605EF9"/>
    <w:rsid w:val="0060611C"/>
    <w:rsid w:val="00606BD2"/>
    <w:rsid w:val="00607423"/>
    <w:rsid w:val="00607812"/>
    <w:rsid w:val="00611040"/>
    <w:rsid w:val="00611B24"/>
    <w:rsid w:val="00612680"/>
    <w:rsid w:val="006128EC"/>
    <w:rsid w:val="00612C3D"/>
    <w:rsid w:val="00612E9F"/>
    <w:rsid w:val="00613005"/>
    <w:rsid w:val="006132ED"/>
    <w:rsid w:val="0061387C"/>
    <w:rsid w:val="00613C39"/>
    <w:rsid w:val="006147DF"/>
    <w:rsid w:val="0061490E"/>
    <w:rsid w:val="00615C77"/>
    <w:rsid w:val="00615DF5"/>
    <w:rsid w:val="006161E7"/>
    <w:rsid w:val="00616233"/>
    <w:rsid w:val="00616953"/>
    <w:rsid w:val="0061726B"/>
    <w:rsid w:val="00617667"/>
    <w:rsid w:val="00617F1B"/>
    <w:rsid w:val="006206D2"/>
    <w:rsid w:val="0062084E"/>
    <w:rsid w:val="00620B97"/>
    <w:rsid w:val="00620BD7"/>
    <w:rsid w:val="00620D28"/>
    <w:rsid w:val="00621507"/>
    <w:rsid w:val="0062233E"/>
    <w:rsid w:val="00622B70"/>
    <w:rsid w:val="00622E10"/>
    <w:rsid w:val="00623390"/>
    <w:rsid w:val="006233E1"/>
    <w:rsid w:val="0062352C"/>
    <w:rsid w:val="00624260"/>
    <w:rsid w:val="00624C53"/>
    <w:rsid w:val="00624CA4"/>
    <w:rsid w:val="00624F89"/>
    <w:rsid w:val="0062607D"/>
    <w:rsid w:val="006269C3"/>
    <w:rsid w:val="00626BAB"/>
    <w:rsid w:val="00626FE5"/>
    <w:rsid w:val="00627622"/>
    <w:rsid w:val="0062777A"/>
    <w:rsid w:val="00627FA5"/>
    <w:rsid w:val="00630215"/>
    <w:rsid w:val="00630220"/>
    <w:rsid w:val="00630E2B"/>
    <w:rsid w:val="00630F6D"/>
    <w:rsid w:val="00631376"/>
    <w:rsid w:val="0063155F"/>
    <w:rsid w:val="00631D6C"/>
    <w:rsid w:val="00631DB7"/>
    <w:rsid w:val="006320CD"/>
    <w:rsid w:val="00633292"/>
    <w:rsid w:val="006337EA"/>
    <w:rsid w:val="0063417F"/>
    <w:rsid w:val="00634196"/>
    <w:rsid w:val="00634291"/>
    <w:rsid w:val="00634E69"/>
    <w:rsid w:val="006351F4"/>
    <w:rsid w:val="006354C8"/>
    <w:rsid w:val="006355A7"/>
    <w:rsid w:val="00635838"/>
    <w:rsid w:val="0063589E"/>
    <w:rsid w:val="00635A58"/>
    <w:rsid w:val="00635BE8"/>
    <w:rsid w:val="00635DC4"/>
    <w:rsid w:val="00636A37"/>
    <w:rsid w:val="00636BC1"/>
    <w:rsid w:val="0063728C"/>
    <w:rsid w:val="0063757F"/>
    <w:rsid w:val="00637819"/>
    <w:rsid w:val="00637BB8"/>
    <w:rsid w:val="0064052E"/>
    <w:rsid w:val="00640C42"/>
    <w:rsid w:val="006413D4"/>
    <w:rsid w:val="00641802"/>
    <w:rsid w:val="00641A21"/>
    <w:rsid w:val="006428E4"/>
    <w:rsid w:val="00642A9E"/>
    <w:rsid w:val="006435F0"/>
    <w:rsid w:val="00643816"/>
    <w:rsid w:val="006439AB"/>
    <w:rsid w:val="00643A53"/>
    <w:rsid w:val="00643B2A"/>
    <w:rsid w:val="00643D64"/>
    <w:rsid w:val="00643EC4"/>
    <w:rsid w:val="0064425A"/>
    <w:rsid w:val="0064461F"/>
    <w:rsid w:val="006452A8"/>
    <w:rsid w:val="006452F3"/>
    <w:rsid w:val="00645E1E"/>
    <w:rsid w:val="00646103"/>
    <w:rsid w:val="00646CC6"/>
    <w:rsid w:val="00650030"/>
    <w:rsid w:val="00650CC0"/>
    <w:rsid w:val="0065102E"/>
    <w:rsid w:val="00651756"/>
    <w:rsid w:val="00651D72"/>
    <w:rsid w:val="0065254A"/>
    <w:rsid w:val="00652EBE"/>
    <w:rsid w:val="006559FD"/>
    <w:rsid w:val="00655FA5"/>
    <w:rsid w:val="006565E0"/>
    <w:rsid w:val="006569ED"/>
    <w:rsid w:val="00656BD2"/>
    <w:rsid w:val="00657070"/>
    <w:rsid w:val="006572FB"/>
    <w:rsid w:val="00657C27"/>
    <w:rsid w:val="00657C31"/>
    <w:rsid w:val="00657CD2"/>
    <w:rsid w:val="00657F9C"/>
    <w:rsid w:val="006601BA"/>
    <w:rsid w:val="006632DC"/>
    <w:rsid w:val="00663563"/>
    <w:rsid w:val="0066428E"/>
    <w:rsid w:val="0066545D"/>
    <w:rsid w:val="006663AB"/>
    <w:rsid w:val="00666861"/>
    <w:rsid w:val="00667843"/>
    <w:rsid w:val="006678AA"/>
    <w:rsid w:val="0067005B"/>
    <w:rsid w:val="006704C5"/>
    <w:rsid w:val="00671508"/>
    <w:rsid w:val="00672FE6"/>
    <w:rsid w:val="006738D8"/>
    <w:rsid w:val="00673BE7"/>
    <w:rsid w:val="00673CDA"/>
    <w:rsid w:val="00674D5D"/>
    <w:rsid w:val="006761D0"/>
    <w:rsid w:val="00677514"/>
    <w:rsid w:val="00677BD3"/>
    <w:rsid w:val="00677D63"/>
    <w:rsid w:val="00680011"/>
    <w:rsid w:val="006801D3"/>
    <w:rsid w:val="0068030A"/>
    <w:rsid w:val="00680B49"/>
    <w:rsid w:val="00682093"/>
    <w:rsid w:val="006826B1"/>
    <w:rsid w:val="00682769"/>
    <w:rsid w:val="006834DE"/>
    <w:rsid w:val="00684005"/>
    <w:rsid w:val="00684C4C"/>
    <w:rsid w:val="00684E5A"/>
    <w:rsid w:val="00684FD5"/>
    <w:rsid w:val="006869A7"/>
    <w:rsid w:val="0068764E"/>
    <w:rsid w:val="00687D77"/>
    <w:rsid w:val="00690482"/>
    <w:rsid w:val="0069096B"/>
    <w:rsid w:val="00691E1D"/>
    <w:rsid w:val="006934A8"/>
    <w:rsid w:val="0069351F"/>
    <w:rsid w:val="00694E2A"/>
    <w:rsid w:val="00695604"/>
    <w:rsid w:val="0069638C"/>
    <w:rsid w:val="0069727A"/>
    <w:rsid w:val="00697518"/>
    <w:rsid w:val="00697B0D"/>
    <w:rsid w:val="006A045B"/>
    <w:rsid w:val="006A0BB0"/>
    <w:rsid w:val="006A0EB0"/>
    <w:rsid w:val="006A19BF"/>
    <w:rsid w:val="006A2699"/>
    <w:rsid w:val="006A32E4"/>
    <w:rsid w:val="006A3322"/>
    <w:rsid w:val="006A3770"/>
    <w:rsid w:val="006A38EE"/>
    <w:rsid w:val="006A4110"/>
    <w:rsid w:val="006A4115"/>
    <w:rsid w:val="006A45A7"/>
    <w:rsid w:val="006A62A3"/>
    <w:rsid w:val="006A7811"/>
    <w:rsid w:val="006B0654"/>
    <w:rsid w:val="006B0CA7"/>
    <w:rsid w:val="006B150F"/>
    <w:rsid w:val="006B17CF"/>
    <w:rsid w:val="006B1BE0"/>
    <w:rsid w:val="006B1E30"/>
    <w:rsid w:val="006B47C2"/>
    <w:rsid w:val="006B6E16"/>
    <w:rsid w:val="006B6EF1"/>
    <w:rsid w:val="006B7571"/>
    <w:rsid w:val="006C00EB"/>
    <w:rsid w:val="006C00F3"/>
    <w:rsid w:val="006C02A6"/>
    <w:rsid w:val="006C0347"/>
    <w:rsid w:val="006C0543"/>
    <w:rsid w:val="006C0740"/>
    <w:rsid w:val="006C09D5"/>
    <w:rsid w:val="006C0F09"/>
    <w:rsid w:val="006C1694"/>
    <w:rsid w:val="006C1767"/>
    <w:rsid w:val="006C1A55"/>
    <w:rsid w:val="006C1B52"/>
    <w:rsid w:val="006C20E0"/>
    <w:rsid w:val="006C2A56"/>
    <w:rsid w:val="006C393E"/>
    <w:rsid w:val="006C498C"/>
    <w:rsid w:val="006C4FF4"/>
    <w:rsid w:val="006C507A"/>
    <w:rsid w:val="006C5BA7"/>
    <w:rsid w:val="006C63F4"/>
    <w:rsid w:val="006C68D5"/>
    <w:rsid w:val="006D0263"/>
    <w:rsid w:val="006D09E6"/>
    <w:rsid w:val="006D127C"/>
    <w:rsid w:val="006D1EE3"/>
    <w:rsid w:val="006D28FA"/>
    <w:rsid w:val="006D2D38"/>
    <w:rsid w:val="006D36BD"/>
    <w:rsid w:val="006D41B7"/>
    <w:rsid w:val="006D43FC"/>
    <w:rsid w:val="006D4B95"/>
    <w:rsid w:val="006D504C"/>
    <w:rsid w:val="006D54B4"/>
    <w:rsid w:val="006D595C"/>
    <w:rsid w:val="006D6196"/>
    <w:rsid w:val="006D68A8"/>
    <w:rsid w:val="006D7AC8"/>
    <w:rsid w:val="006D7B17"/>
    <w:rsid w:val="006E00FB"/>
    <w:rsid w:val="006E0B3F"/>
    <w:rsid w:val="006E2268"/>
    <w:rsid w:val="006E25DA"/>
    <w:rsid w:val="006E265A"/>
    <w:rsid w:val="006E34A7"/>
    <w:rsid w:val="006E407E"/>
    <w:rsid w:val="006E480F"/>
    <w:rsid w:val="006E4843"/>
    <w:rsid w:val="006E52A0"/>
    <w:rsid w:val="006E5809"/>
    <w:rsid w:val="006E60D1"/>
    <w:rsid w:val="006E627A"/>
    <w:rsid w:val="006E6CAC"/>
    <w:rsid w:val="006E6CBA"/>
    <w:rsid w:val="006E7AF2"/>
    <w:rsid w:val="006E7C5E"/>
    <w:rsid w:val="006E7E49"/>
    <w:rsid w:val="006F072B"/>
    <w:rsid w:val="006F1291"/>
    <w:rsid w:val="006F1365"/>
    <w:rsid w:val="006F33A3"/>
    <w:rsid w:val="006F5C85"/>
    <w:rsid w:val="006F5FEB"/>
    <w:rsid w:val="006F6182"/>
    <w:rsid w:val="006F65CA"/>
    <w:rsid w:val="006F67C1"/>
    <w:rsid w:val="006F6967"/>
    <w:rsid w:val="006F6CA9"/>
    <w:rsid w:val="006F7725"/>
    <w:rsid w:val="007001E7"/>
    <w:rsid w:val="00701453"/>
    <w:rsid w:val="00701854"/>
    <w:rsid w:val="00702DD2"/>
    <w:rsid w:val="007035A2"/>
    <w:rsid w:val="00703832"/>
    <w:rsid w:val="00704DB7"/>
    <w:rsid w:val="007052E7"/>
    <w:rsid w:val="00705327"/>
    <w:rsid w:val="0070546D"/>
    <w:rsid w:val="0070550A"/>
    <w:rsid w:val="0070581F"/>
    <w:rsid w:val="00705AE9"/>
    <w:rsid w:val="00706567"/>
    <w:rsid w:val="007065F8"/>
    <w:rsid w:val="0070674E"/>
    <w:rsid w:val="00706927"/>
    <w:rsid w:val="00706BA2"/>
    <w:rsid w:val="0070772E"/>
    <w:rsid w:val="007101E8"/>
    <w:rsid w:val="00710BD1"/>
    <w:rsid w:val="00710CAF"/>
    <w:rsid w:val="007115A1"/>
    <w:rsid w:val="00711C62"/>
    <w:rsid w:val="0071211B"/>
    <w:rsid w:val="00712428"/>
    <w:rsid w:val="0071276C"/>
    <w:rsid w:val="00712AB6"/>
    <w:rsid w:val="0071357C"/>
    <w:rsid w:val="00713B8F"/>
    <w:rsid w:val="00713DF5"/>
    <w:rsid w:val="0071410F"/>
    <w:rsid w:val="0071462C"/>
    <w:rsid w:val="00714BEB"/>
    <w:rsid w:val="00714E83"/>
    <w:rsid w:val="00714FBA"/>
    <w:rsid w:val="007158F8"/>
    <w:rsid w:val="00716266"/>
    <w:rsid w:val="00716454"/>
    <w:rsid w:val="00716507"/>
    <w:rsid w:val="007166AE"/>
    <w:rsid w:val="00716BD7"/>
    <w:rsid w:val="007173B6"/>
    <w:rsid w:val="007178E2"/>
    <w:rsid w:val="00717D42"/>
    <w:rsid w:val="007210A9"/>
    <w:rsid w:val="00721C83"/>
    <w:rsid w:val="0072219B"/>
    <w:rsid w:val="0072324B"/>
    <w:rsid w:val="00723755"/>
    <w:rsid w:val="00723F21"/>
    <w:rsid w:val="00724997"/>
    <w:rsid w:val="00724E63"/>
    <w:rsid w:val="00725D22"/>
    <w:rsid w:val="007267AF"/>
    <w:rsid w:val="007268DE"/>
    <w:rsid w:val="00727524"/>
    <w:rsid w:val="007278A4"/>
    <w:rsid w:val="00730C23"/>
    <w:rsid w:val="00730FE3"/>
    <w:rsid w:val="007316FF"/>
    <w:rsid w:val="007334FF"/>
    <w:rsid w:val="00733552"/>
    <w:rsid w:val="0073407A"/>
    <w:rsid w:val="007344AE"/>
    <w:rsid w:val="00734627"/>
    <w:rsid w:val="00734FA9"/>
    <w:rsid w:val="00735839"/>
    <w:rsid w:val="00737159"/>
    <w:rsid w:val="007371DF"/>
    <w:rsid w:val="007373F8"/>
    <w:rsid w:val="00737424"/>
    <w:rsid w:val="00740984"/>
    <w:rsid w:val="00740A75"/>
    <w:rsid w:val="007414F1"/>
    <w:rsid w:val="00741E14"/>
    <w:rsid w:val="00742408"/>
    <w:rsid w:val="00742571"/>
    <w:rsid w:val="007428F5"/>
    <w:rsid w:val="0074380A"/>
    <w:rsid w:val="007439EB"/>
    <w:rsid w:val="00743A4B"/>
    <w:rsid w:val="00743CEA"/>
    <w:rsid w:val="00743D2C"/>
    <w:rsid w:val="00744029"/>
    <w:rsid w:val="0074466A"/>
    <w:rsid w:val="00745EF7"/>
    <w:rsid w:val="007474F5"/>
    <w:rsid w:val="00747985"/>
    <w:rsid w:val="0075017E"/>
    <w:rsid w:val="00750E7A"/>
    <w:rsid w:val="007511F6"/>
    <w:rsid w:val="00751821"/>
    <w:rsid w:val="007521A8"/>
    <w:rsid w:val="00752948"/>
    <w:rsid w:val="00753253"/>
    <w:rsid w:val="0075435D"/>
    <w:rsid w:val="007545C6"/>
    <w:rsid w:val="007547BA"/>
    <w:rsid w:val="00754DAA"/>
    <w:rsid w:val="00755115"/>
    <w:rsid w:val="00755EFA"/>
    <w:rsid w:val="007561D2"/>
    <w:rsid w:val="007567AC"/>
    <w:rsid w:val="0075698A"/>
    <w:rsid w:val="00757A91"/>
    <w:rsid w:val="007602BC"/>
    <w:rsid w:val="007603D0"/>
    <w:rsid w:val="007605D1"/>
    <w:rsid w:val="00760FBB"/>
    <w:rsid w:val="00761108"/>
    <w:rsid w:val="00761143"/>
    <w:rsid w:val="0076421E"/>
    <w:rsid w:val="0076449D"/>
    <w:rsid w:val="007652AF"/>
    <w:rsid w:val="0076534F"/>
    <w:rsid w:val="007653AF"/>
    <w:rsid w:val="00766D55"/>
    <w:rsid w:val="00767079"/>
    <w:rsid w:val="00767546"/>
    <w:rsid w:val="00771027"/>
    <w:rsid w:val="00771399"/>
    <w:rsid w:val="007713A0"/>
    <w:rsid w:val="00772185"/>
    <w:rsid w:val="007725F4"/>
    <w:rsid w:val="00772945"/>
    <w:rsid w:val="00772B53"/>
    <w:rsid w:val="007731D7"/>
    <w:rsid w:val="00774425"/>
    <w:rsid w:val="0077505C"/>
    <w:rsid w:val="00775210"/>
    <w:rsid w:val="00775ED9"/>
    <w:rsid w:val="00776219"/>
    <w:rsid w:val="0077638F"/>
    <w:rsid w:val="00776457"/>
    <w:rsid w:val="007768A6"/>
    <w:rsid w:val="00776958"/>
    <w:rsid w:val="00776E48"/>
    <w:rsid w:val="007777EC"/>
    <w:rsid w:val="00777AF9"/>
    <w:rsid w:val="00777E6B"/>
    <w:rsid w:val="007806D4"/>
    <w:rsid w:val="007818CC"/>
    <w:rsid w:val="00782098"/>
    <w:rsid w:val="00782179"/>
    <w:rsid w:val="00782599"/>
    <w:rsid w:val="0078297E"/>
    <w:rsid w:val="007831DC"/>
    <w:rsid w:val="00784170"/>
    <w:rsid w:val="007842B2"/>
    <w:rsid w:val="00784838"/>
    <w:rsid w:val="00785094"/>
    <w:rsid w:val="007852C0"/>
    <w:rsid w:val="00785449"/>
    <w:rsid w:val="00785489"/>
    <w:rsid w:val="00785996"/>
    <w:rsid w:val="00787378"/>
    <w:rsid w:val="00787D8D"/>
    <w:rsid w:val="00791232"/>
    <w:rsid w:val="007917B2"/>
    <w:rsid w:val="00791F9C"/>
    <w:rsid w:val="0079355A"/>
    <w:rsid w:val="0079374D"/>
    <w:rsid w:val="00793A62"/>
    <w:rsid w:val="00794EA1"/>
    <w:rsid w:val="00794FB0"/>
    <w:rsid w:val="00795219"/>
    <w:rsid w:val="007964C0"/>
    <w:rsid w:val="00796C3B"/>
    <w:rsid w:val="00796D68"/>
    <w:rsid w:val="00797630"/>
    <w:rsid w:val="007A0776"/>
    <w:rsid w:val="007A118B"/>
    <w:rsid w:val="007A2235"/>
    <w:rsid w:val="007A26CA"/>
    <w:rsid w:val="007A2884"/>
    <w:rsid w:val="007A3AF8"/>
    <w:rsid w:val="007A3F4F"/>
    <w:rsid w:val="007A401A"/>
    <w:rsid w:val="007A4388"/>
    <w:rsid w:val="007A463C"/>
    <w:rsid w:val="007A530F"/>
    <w:rsid w:val="007A58A3"/>
    <w:rsid w:val="007A5BD4"/>
    <w:rsid w:val="007A609C"/>
    <w:rsid w:val="007A64F4"/>
    <w:rsid w:val="007A6D64"/>
    <w:rsid w:val="007A72CC"/>
    <w:rsid w:val="007A7570"/>
    <w:rsid w:val="007A7B28"/>
    <w:rsid w:val="007B02CB"/>
    <w:rsid w:val="007B0F91"/>
    <w:rsid w:val="007B0F9E"/>
    <w:rsid w:val="007B148E"/>
    <w:rsid w:val="007B1A51"/>
    <w:rsid w:val="007B2052"/>
    <w:rsid w:val="007B2193"/>
    <w:rsid w:val="007B24B6"/>
    <w:rsid w:val="007B29B3"/>
    <w:rsid w:val="007B2A0A"/>
    <w:rsid w:val="007B393E"/>
    <w:rsid w:val="007B394B"/>
    <w:rsid w:val="007B3F95"/>
    <w:rsid w:val="007B59FD"/>
    <w:rsid w:val="007B5E45"/>
    <w:rsid w:val="007B672D"/>
    <w:rsid w:val="007B6B4E"/>
    <w:rsid w:val="007B6DDD"/>
    <w:rsid w:val="007B7BA4"/>
    <w:rsid w:val="007B7EE0"/>
    <w:rsid w:val="007C0204"/>
    <w:rsid w:val="007C02CC"/>
    <w:rsid w:val="007C05AD"/>
    <w:rsid w:val="007C09A1"/>
    <w:rsid w:val="007C0B87"/>
    <w:rsid w:val="007C0C9B"/>
    <w:rsid w:val="007C2D5F"/>
    <w:rsid w:val="007C3A30"/>
    <w:rsid w:val="007C3C01"/>
    <w:rsid w:val="007C3F6E"/>
    <w:rsid w:val="007C419E"/>
    <w:rsid w:val="007C4DE7"/>
    <w:rsid w:val="007C568C"/>
    <w:rsid w:val="007C5A67"/>
    <w:rsid w:val="007C5E88"/>
    <w:rsid w:val="007C69D5"/>
    <w:rsid w:val="007C7205"/>
    <w:rsid w:val="007C742E"/>
    <w:rsid w:val="007C76CF"/>
    <w:rsid w:val="007D05F8"/>
    <w:rsid w:val="007D12DB"/>
    <w:rsid w:val="007D1815"/>
    <w:rsid w:val="007D2A34"/>
    <w:rsid w:val="007D30FA"/>
    <w:rsid w:val="007D3DEB"/>
    <w:rsid w:val="007D4567"/>
    <w:rsid w:val="007D4C73"/>
    <w:rsid w:val="007D55BD"/>
    <w:rsid w:val="007D5AEA"/>
    <w:rsid w:val="007D5CA1"/>
    <w:rsid w:val="007D666C"/>
    <w:rsid w:val="007D6706"/>
    <w:rsid w:val="007E0CC6"/>
    <w:rsid w:val="007E1165"/>
    <w:rsid w:val="007E1390"/>
    <w:rsid w:val="007E1677"/>
    <w:rsid w:val="007E1777"/>
    <w:rsid w:val="007E266A"/>
    <w:rsid w:val="007E27B8"/>
    <w:rsid w:val="007E2917"/>
    <w:rsid w:val="007E2E25"/>
    <w:rsid w:val="007E2EB0"/>
    <w:rsid w:val="007E3741"/>
    <w:rsid w:val="007E419C"/>
    <w:rsid w:val="007E43EC"/>
    <w:rsid w:val="007E46FA"/>
    <w:rsid w:val="007E4892"/>
    <w:rsid w:val="007E4ACF"/>
    <w:rsid w:val="007E55A7"/>
    <w:rsid w:val="007E56CA"/>
    <w:rsid w:val="007E5C47"/>
    <w:rsid w:val="007E66E6"/>
    <w:rsid w:val="007E689A"/>
    <w:rsid w:val="007E78C4"/>
    <w:rsid w:val="007F0551"/>
    <w:rsid w:val="007F0E03"/>
    <w:rsid w:val="007F1F9D"/>
    <w:rsid w:val="007F2725"/>
    <w:rsid w:val="007F2844"/>
    <w:rsid w:val="007F30B0"/>
    <w:rsid w:val="007F3337"/>
    <w:rsid w:val="007F4227"/>
    <w:rsid w:val="007F4234"/>
    <w:rsid w:val="007F4422"/>
    <w:rsid w:val="007F4788"/>
    <w:rsid w:val="007F4B15"/>
    <w:rsid w:val="007F5384"/>
    <w:rsid w:val="007F5A67"/>
    <w:rsid w:val="007F651C"/>
    <w:rsid w:val="007F654E"/>
    <w:rsid w:val="007F71B1"/>
    <w:rsid w:val="007F7288"/>
    <w:rsid w:val="007F791F"/>
    <w:rsid w:val="008009FC"/>
    <w:rsid w:val="00800EDA"/>
    <w:rsid w:val="00800F68"/>
    <w:rsid w:val="00800FFD"/>
    <w:rsid w:val="00801635"/>
    <w:rsid w:val="008033B0"/>
    <w:rsid w:val="008039FE"/>
    <w:rsid w:val="008045FB"/>
    <w:rsid w:val="008056A9"/>
    <w:rsid w:val="008056C8"/>
    <w:rsid w:val="00805CF4"/>
    <w:rsid w:val="00805FDE"/>
    <w:rsid w:val="0080627C"/>
    <w:rsid w:val="00806670"/>
    <w:rsid w:val="00806757"/>
    <w:rsid w:val="00806D11"/>
    <w:rsid w:val="00807499"/>
    <w:rsid w:val="008101DD"/>
    <w:rsid w:val="00810B00"/>
    <w:rsid w:val="00810FF8"/>
    <w:rsid w:val="008117DC"/>
    <w:rsid w:val="00811A06"/>
    <w:rsid w:val="0081214B"/>
    <w:rsid w:val="008131B3"/>
    <w:rsid w:val="00813408"/>
    <w:rsid w:val="00813E2D"/>
    <w:rsid w:val="00814A93"/>
    <w:rsid w:val="00814B32"/>
    <w:rsid w:val="008156CC"/>
    <w:rsid w:val="00815A01"/>
    <w:rsid w:val="0081616B"/>
    <w:rsid w:val="00817293"/>
    <w:rsid w:val="008179CF"/>
    <w:rsid w:val="00817A00"/>
    <w:rsid w:val="00820160"/>
    <w:rsid w:val="00820CD5"/>
    <w:rsid w:val="008225EE"/>
    <w:rsid w:val="00823623"/>
    <w:rsid w:val="00823C2D"/>
    <w:rsid w:val="00824530"/>
    <w:rsid w:val="00825417"/>
    <w:rsid w:val="00825835"/>
    <w:rsid w:val="008264FC"/>
    <w:rsid w:val="00827065"/>
    <w:rsid w:val="00827466"/>
    <w:rsid w:val="00827F1D"/>
    <w:rsid w:val="008304C5"/>
    <w:rsid w:val="008305B6"/>
    <w:rsid w:val="00830922"/>
    <w:rsid w:val="0083096E"/>
    <w:rsid w:val="00830977"/>
    <w:rsid w:val="008309E6"/>
    <w:rsid w:val="00830E80"/>
    <w:rsid w:val="0083148D"/>
    <w:rsid w:val="0083190B"/>
    <w:rsid w:val="00832402"/>
    <w:rsid w:val="0083314A"/>
    <w:rsid w:val="00833CBC"/>
    <w:rsid w:val="00834D51"/>
    <w:rsid w:val="008350DA"/>
    <w:rsid w:val="0083512F"/>
    <w:rsid w:val="008356FF"/>
    <w:rsid w:val="0083589E"/>
    <w:rsid w:val="00836388"/>
    <w:rsid w:val="00836448"/>
    <w:rsid w:val="00836565"/>
    <w:rsid w:val="00836977"/>
    <w:rsid w:val="008370EC"/>
    <w:rsid w:val="008377F4"/>
    <w:rsid w:val="00837BDC"/>
    <w:rsid w:val="00837FAC"/>
    <w:rsid w:val="0084052B"/>
    <w:rsid w:val="00841658"/>
    <w:rsid w:val="0084196C"/>
    <w:rsid w:val="00841FC4"/>
    <w:rsid w:val="00842317"/>
    <w:rsid w:val="008427B1"/>
    <w:rsid w:val="00842E7B"/>
    <w:rsid w:val="008436C1"/>
    <w:rsid w:val="00843C2C"/>
    <w:rsid w:val="008443FA"/>
    <w:rsid w:val="0084455E"/>
    <w:rsid w:val="008445F8"/>
    <w:rsid w:val="00845619"/>
    <w:rsid w:val="008458EE"/>
    <w:rsid w:val="00845C67"/>
    <w:rsid w:val="0084620E"/>
    <w:rsid w:val="00846F94"/>
    <w:rsid w:val="00847344"/>
    <w:rsid w:val="008474D9"/>
    <w:rsid w:val="00847A5C"/>
    <w:rsid w:val="00847CAB"/>
    <w:rsid w:val="008502C7"/>
    <w:rsid w:val="00850446"/>
    <w:rsid w:val="00850A7A"/>
    <w:rsid w:val="00851B79"/>
    <w:rsid w:val="00851D01"/>
    <w:rsid w:val="00852265"/>
    <w:rsid w:val="008522BE"/>
    <w:rsid w:val="0085231C"/>
    <w:rsid w:val="00852E90"/>
    <w:rsid w:val="00853A37"/>
    <w:rsid w:val="00853C57"/>
    <w:rsid w:val="00854153"/>
    <w:rsid w:val="00854F3F"/>
    <w:rsid w:val="00854FD7"/>
    <w:rsid w:val="00855309"/>
    <w:rsid w:val="00855CAF"/>
    <w:rsid w:val="008561A6"/>
    <w:rsid w:val="00856B38"/>
    <w:rsid w:val="0085783E"/>
    <w:rsid w:val="00860610"/>
    <w:rsid w:val="00861DAB"/>
    <w:rsid w:val="00863264"/>
    <w:rsid w:val="008637AA"/>
    <w:rsid w:val="00863B37"/>
    <w:rsid w:val="0086411E"/>
    <w:rsid w:val="00864300"/>
    <w:rsid w:val="00865351"/>
    <w:rsid w:val="008656BA"/>
    <w:rsid w:val="00865CF3"/>
    <w:rsid w:val="0086798A"/>
    <w:rsid w:val="00867D4C"/>
    <w:rsid w:val="00867F05"/>
    <w:rsid w:val="00867F33"/>
    <w:rsid w:val="0087181B"/>
    <w:rsid w:val="00871CA1"/>
    <w:rsid w:val="008722D9"/>
    <w:rsid w:val="00872537"/>
    <w:rsid w:val="00872E6F"/>
    <w:rsid w:val="00875EC5"/>
    <w:rsid w:val="0087611D"/>
    <w:rsid w:val="00876D92"/>
    <w:rsid w:val="0088039C"/>
    <w:rsid w:val="0088133A"/>
    <w:rsid w:val="00881BE2"/>
    <w:rsid w:val="00881D45"/>
    <w:rsid w:val="00881E70"/>
    <w:rsid w:val="008824DA"/>
    <w:rsid w:val="008829D6"/>
    <w:rsid w:val="00882EE6"/>
    <w:rsid w:val="008834C1"/>
    <w:rsid w:val="008843C7"/>
    <w:rsid w:val="00884745"/>
    <w:rsid w:val="00884996"/>
    <w:rsid w:val="00884BB2"/>
    <w:rsid w:val="00885818"/>
    <w:rsid w:val="00885869"/>
    <w:rsid w:val="0088610C"/>
    <w:rsid w:val="00886135"/>
    <w:rsid w:val="0088616E"/>
    <w:rsid w:val="00887130"/>
    <w:rsid w:val="00887488"/>
    <w:rsid w:val="008876FC"/>
    <w:rsid w:val="00887A9A"/>
    <w:rsid w:val="00887B3B"/>
    <w:rsid w:val="00890CBD"/>
    <w:rsid w:val="00890EA5"/>
    <w:rsid w:val="008917F1"/>
    <w:rsid w:val="008919EF"/>
    <w:rsid w:val="008929C3"/>
    <w:rsid w:val="00892C15"/>
    <w:rsid w:val="00892C87"/>
    <w:rsid w:val="00892D89"/>
    <w:rsid w:val="00893769"/>
    <w:rsid w:val="0089558D"/>
    <w:rsid w:val="0089641F"/>
    <w:rsid w:val="0089698D"/>
    <w:rsid w:val="00897685"/>
    <w:rsid w:val="008A10C4"/>
    <w:rsid w:val="008A19AD"/>
    <w:rsid w:val="008A1DB7"/>
    <w:rsid w:val="008A239E"/>
    <w:rsid w:val="008A24BD"/>
    <w:rsid w:val="008A2ED3"/>
    <w:rsid w:val="008A331B"/>
    <w:rsid w:val="008A353F"/>
    <w:rsid w:val="008A3595"/>
    <w:rsid w:val="008A3C9C"/>
    <w:rsid w:val="008A3F8E"/>
    <w:rsid w:val="008A4776"/>
    <w:rsid w:val="008A5E23"/>
    <w:rsid w:val="008A6205"/>
    <w:rsid w:val="008A6488"/>
    <w:rsid w:val="008A6CAB"/>
    <w:rsid w:val="008A75BF"/>
    <w:rsid w:val="008B0B78"/>
    <w:rsid w:val="008B0D14"/>
    <w:rsid w:val="008B0F2E"/>
    <w:rsid w:val="008B26C1"/>
    <w:rsid w:val="008B2D7E"/>
    <w:rsid w:val="008B3BBA"/>
    <w:rsid w:val="008B3EFF"/>
    <w:rsid w:val="008B41A8"/>
    <w:rsid w:val="008B4B5A"/>
    <w:rsid w:val="008B51AB"/>
    <w:rsid w:val="008B5322"/>
    <w:rsid w:val="008B56AF"/>
    <w:rsid w:val="008B5F64"/>
    <w:rsid w:val="008B6D44"/>
    <w:rsid w:val="008B78A9"/>
    <w:rsid w:val="008B7C7D"/>
    <w:rsid w:val="008B7F16"/>
    <w:rsid w:val="008C0960"/>
    <w:rsid w:val="008C1479"/>
    <w:rsid w:val="008C163B"/>
    <w:rsid w:val="008C2883"/>
    <w:rsid w:val="008C3730"/>
    <w:rsid w:val="008C3B02"/>
    <w:rsid w:val="008C3D86"/>
    <w:rsid w:val="008C3EFF"/>
    <w:rsid w:val="008C3FEF"/>
    <w:rsid w:val="008C46CB"/>
    <w:rsid w:val="008C5278"/>
    <w:rsid w:val="008C6476"/>
    <w:rsid w:val="008C69C3"/>
    <w:rsid w:val="008D166B"/>
    <w:rsid w:val="008D2352"/>
    <w:rsid w:val="008D2ACA"/>
    <w:rsid w:val="008D2E32"/>
    <w:rsid w:val="008D37BA"/>
    <w:rsid w:val="008D390C"/>
    <w:rsid w:val="008D39BF"/>
    <w:rsid w:val="008D4B20"/>
    <w:rsid w:val="008D7377"/>
    <w:rsid w:val="008D7AEA"/>
    <w:rsid w:val="008D7B9F"/>
    <w:rsid w:val="008E14F8"/>
    <w:rsid w:val="008E2BC3"/>
    <w:rsid w:val="008E3DE8"/>
    <w:rsid w:val="008E4248"/>
    <w:rsid w:val="008E47BF"/>
    <w:rsid w:val="008E484C"/>
    <w:rsid w:val="008E5143"/>
    <w:rsid w:val="008E71E9"/>
    <w:rsid w:val="008E728C"/>
    <w:rsid w:val="008E79DB"/>
    <w:rsid w:val="008E7C64"/>
    <w:rsid w:val="008F0259"/>
    <w:rsid w:val="008F0D93"/>
    <w:rsid w:val="008F2193"/>
    <w:rsid w:val="008F4B9A"/>
    <w:rsid w:val="008F4BB0"/>
    <w:rsid w:val="008F4C9E"/>
    <w:rsid w:val="008F4D5F"/>
    <w:rsid w:val="008F537A"/>
    <w:rsid w:val="008F5B33"/>
    <w:rsid w:val="008F5F8D"/>
    <w:rsid w:val="008F6ADA"/>
    <w:rsid w:val="008F7636"/>
    <w:rsid w:val="008F7FB7"/>
    <w:rsid w:val="00900167"/>
    <w:rsid w:val="009009AC"/>
    <w:rsid w:val="00900A6E"/>
    <w:rsid w:val="00900AD8"/>
    <w:rsid w:val="00900CA9"/>
    <w:rsid w:val="00900DC8"/>
    <w:rsid w:val="00900E54"/>
    <w:rsid w:val="00901590"/>
    <w:rsid w:val="009016D6"/>
    <w:rsid w:val="00901F8B"/>
    <w:rsid w:val="009020B5"/>
    <w:rsid w:val="009023F1"/>
    <w:rsid w:val="00902A15"/>
    <w:rsid w:val="00902B2C"/>
    <w:rsid w:val="00903EB4"/>
    <w:rsid w:val="00904DE6"/>
    <w:rsid w:val="00904EE2"/>
    <w:rsid w:val="009054B4"/>
    <w:rsid w:val="009054D9"/>
    <w:rsid w:val="00905CDA"/>
    <w:rsid w:val="00906A97"/>
    <w:rsid w:val="00906D0E"/>
    <w:rsid w:val="00906D6E"/>
    <w:rsid w:val="00910CD1"/>
    <w:rsid w:val="009112B9"/>
    <w:rsid w:val="0091199F"/>
    <w:rsid w:val="00912725"/>
    <w:rsid w:val="009131E8"/>
    <w:rsid w:val="009133D4"/>
    <w:rsid w:val="0091388F"/>
    <w:rsid w:val="00913970"/>
    <w:rsid w:val="00913C3E"/>
    <w:rsid w:val="009143EA"/>
    <w:rsid w:val="00915488"/>
    <w:rsid w:val="00916796"/>
    <w:rsid w:val="00917DAF"/>
    <w:rsid w:val="00917F7E"/>
    <w:rsid w:val="0092015A"/>
    <w:rsid w:val="00920378"/>
    <w:rsid w:val="00920500"/>
    <w:rsid w:val="009224B9"/>
    <w:rsid w:val="00922693"/>
    <w:rsid w:val="00922A02"/>
    <w:rsid w:val="00923339"/>
    <w:rsid w:val="00923373"/>
    <w:rsid w:val="0092467F"/>
    <w:rsid w:val="009249CF"/>
    <w:rsid w:val="00925456"/>
    <w:rsid w:val="009256B0"/>
    <w:rsid w:val="00925B86"/>
    <w:rsid w:val="00926611"/>
    <w:rsid w:val="00926CB6"/>
    <w:rsid w:val="00926F13"/>
    <w:rsid w:val="00930263"/>
    <w:rsid w:val="0093082F"/>
    <w:rsid w:val="00930AED"/>
    <w:rsid w:val="00930B87"/>
    <w:rsid w:val="00930D39"/>
    <w:rsid w:val="009312E7"/>
    <w:rsid w:val="009322B4"/>
    <w:rsid w:val="00932936"/>
    <w:rsid w:val="00932BF6"/>
    <w:rsid w:val="009331B1"/>
    <w:rsid w:val="0093357D"/>
    <w:rsid w:val="009346B1"/>
    <w:rsid w:val="0093471B"/>
    <w:rsid w:val="00934AFC"/>
    <w:rsid w:val="00934FB3"/>
    <w:rsid w:val="00935278"/>
    <w:rsid w:val="00935456"/>
    <w:rsid w:val="00935CCD"/>
    <w:rsid w:val="00935F22"/>
    <w:rsid w:val="00936516"/>
    <w:rsid w:val="00936DF5"/>
    <w:rsid w:val="00937205"/>
    <w:rsid w:val="009375E4"/>
    <w:rsid w:val="009376BE"/>
    <w:rsid w:val="0094022D"/>
    <w:rsid w:val="009410F1"/>
    <w:rsid w:val="00941205"/>
    <w:rsid w:val="00941272"/>
    <w:rsid w:val="00941EBA"/>
    <w:rsid w:val="00942181"/>
    <w:rsid w:val="00942247"/>
    <w:rsid w:val="009428D0"/>
    <w:rsid w:val="00942BBB"/>
    <w:rsid w:val="00942EF5"/>
    <w:rsid w:val="0094363F"/>
    <w:rsid w:val="0094370B"/>
    <w:rsid w:val="009455A4"/>
    <w:rsid w:val="00945C07"/>
    <w:rsid w:val="009461AD"/>
    <w:rsid w:val="00946592"/>
    <w:rsid w:val="009465EA"/>
    <w:rsid w:val="009515AA"/>
    <w:rsid w:val="009529C1"/>
    <w:rsid w:val="00952F8F"/>
    <w:rsid w:val="00953D1A"/>
    <w:rsid w:val="00955172"/>
    <w:rsid w:val="00955557"/>
    <w:rsid w:val="00955717"/>
    <w:rsid w:val="00955FEE"/>
    <w:rsid w:val="009564AB"/>
    <w:rsid w:val="0095657F"/>
    <w:rsid w:val="009568ED"/>
    <w:rsid w:val="00957271"/>
    <w:rsid w:val="009606FC"/>
    <w:rsid w:val="00960A05"/>
    <w:rsid w:val="00960FD6"/>
    <w:rsid w:val="009611C3"/>
    <w:rsid w:val="009611CC"/>
    <w:rsid w:val="00961455"/>
    <w:rsid w:val="0096170A"/>
    <w:rsid w:val="0096190B"/>
    <w:rsid w:val="009624EF"/>
    <w:rsid w:val="00962F0E"/>
    <w:rsid w:val="00963582"/>
    <w:rsid w:val="0096473F"/>
    <w:rsid w:val="00965217"/>
    <w:rsid w:val="00965AD0"/>
    <w:rsid w:val="009662AC"/>
    <w:rsid w:val="00966524"/>
    <w:rsid w:val="0096729D"/>
    <w:rsid w:val="009678EB"/>
    <w:rsid w:val="009702E1"/>
    <w:rsid w:val="00970F7C"/>
    <w:rsid w:val="00970F9A"/>
    <w:rsid w:val="00971011"/>
    <w:rsid w:val="00971812"/>
    <w:rsid w:val="0097400F"/>
    <w:rsid w:val="00975707"/>
    <w:rsid w:val="0097633E"/>
    <w:rsid w:val="009764C0"/>
    <w:rsid w:val="009766A3"/>
    <w:rsid w:val="00976A68"/>
    <w:rsid w:val="0097733A"/>
    <w:rsid w:val="009773C2"/>
    <w:rsid w:val="00977B8E"/>
    <w:rsid w:val="00981B7D"/>
    <w:rsid w:val="00981D1C"/>
    <w:rsid w:val="0098379B"/>
    <w:rsid w:val="00983B0B"/>
    <w:rsid w:val="00984386"/>
    <w:rsid w:val="0098554E"/>
    <w:rsid w:val="00985812"/>
    <w:rsid w:val="009868C1"/>
    <w:rsid w:val="009873FC"/>
    <w:rsid w:val="00987B74"/>
    <w:rsid w:val="00987D3E"/>
    <w:rsid w:val="00990534"/>
    <w:rsid w:val="00990FEE"/>
    <w:rsid w:val="00991483"/>
    <w:rsid w:val="009915B4"/>
    <w:rsid w:val="009917BA"/>
    <w:rsid w:val="0099182A"/>
    <w:rsid w:val="009920AB"/>
    <w:rsid w:val="00992995"/>
    <w:rsid w:val="00992FF0"/>
    <w:rsid w:val="00993008"/>
    <w:rsid w:val="009939AC"/>
    <w:rsid w:val="00993C29"/>
    <w:rsid w:val="00994291"/>
    <w:rsid w:val="00994495"/>
    <w:rsid w:val="00994AF2"/>
    <w:rsid w:val="00994C23"/>
    <w:rsid w:val="00994D93"/>
    <w:rsid w:val="00995174"/>
    <w:rsid w:val="009951C9"/>
    <w:rsid w:val="0099568B"/>
    <w:rsid w:val="00995C9E"/>
    <w:rsid w:val="00996C41"/>
    <w:rsid w:val="009A0980"/>
    <w:rsid w:val="009A0F2A"/>
    <w:rsid w:val="009A149E"/>
    <w:rsid w:val="009A17C3"/>
    <w:rsid w:val="009A3173"/>
    <w:rsid w:val="009A3410"/>
    <w:rsid w:val="009A38CC"/>
    <w:rsid w:val="009A40A2"/>
    <w:rsid w:val="009A4BE6"/>
    <w:rsid w:val="009A4CDC"/>
    <w:rsid w:val="009A5168"/>
    <w:rsid w:val="009A53CF"/>
    <w:rsid w:val="009A6151"/>
    <w:rsid w:val="009A6554"/>
    <w:rsid w:val="009A7690"/>
    <w:rsid w:val="009B050D"/>
    <w:rsid w:val="009B083A"/>
    <w:rsid w:val="009B0946"/>
    <w:rsid w:val="009B0D66"/>
    <w:rsid w:val="009B13BB"/>
    <w:rsid w:val="009B23E5"/>
    <w:rsid w:val="009B2EA5"/>
    <w:rsid w:val="009B32C6"/>
    <w:rsid w:val="009B353B"/>
    <w:rsid w:val="009B3960"/>
    <w:rsid w:val="009B4922"/>
    <w:rsid w:val="009B4C05"/>
    <w:rsid w:val="009B4D03"/>
    <w:rsid w:val="009B556A"/>
    <w:rsid w:val="009B6033"/>
    <w:rsid w:val="009B64AA"/>
    <w:rsid w:val="009B6B6A"/>
    <w:rsid w:val="009B6E18"/>
    <w:rsid w:val="009C1413"/>
    <w:rsid w:val="009C1DEA"/>
    <w:rsid w:val="009C1FD2"/>
    <w:rsid w:val="009C218C"/>
    <w:rsid w:val="009C33C4"/>
    <w:rsid w:val="009C5460"/>
    <w:rsid w:val="009C5F0A"/>
    <w:rsid w:val="009C657C"/>
    <w:rsid w:val="009C6EC0"/>
    <w:rsid w:val="009C7D12"/>
    <w:rsid w:val="009D0560"/>
    <w:rsid w:val="009D0863"/>
    <w:rsid w:val="009D134F"/>
    <w:rsid w:val="009D15BC"/>
    <w:rsid w:val="009D1A3F"/>
    <w:rsid w:val="009D23C4"/>
    <w:rsid w:val="009D3008"/>
    <w:rsid w:val="009D3393"/>
    <w:rsid w:val="009D3918"/>
    <w:rsid w:val="009D42E4"/>
    <w:rsid w:val="009D4E51"/>
    <w:rsid w:val="009D54E6"/>
    <w:rsid w:val="009D5E31"/>
    <w:rsid w:val="009D6398"/>
    <w:rsid w:val="009D67EC"/>
    <w:rsid w:val="009D7232"/>
    <w:rsid w:val="009D7CA9"/>
    <w:rsid w:val="009E08B3"/>
    <w:rsid w:val="009E08F0"/>
    <w:rsid w:val="009E0FA4"/>
    <w:rsid w:val="009E1AC3"/>
    <w:rsid w:val="009E1CDE"/>
    <w:rsid w:val="009E252C"/>
    <w:rsid w:val="009E2AA6"/>
    <w:rsid w:val="009E2CB0"/>
    <w:rsid w:val="009E2CDC"/>
    <w:rsid w:val="009E34C3"/>
    <w:rsid w:val="009E3563"/>
    <w:rsid w:val="009E3F1F"/>
    <w:rsid w:val="009E4709"/>
    <w:rsid w:val="009E47E9"/>
    <w:rsid w:val="009E4AD1"/>
    <w:rsid w:val="009E5778"/>
    <w:rsid w:val="009E5ADB"/>
    <w:rsid w:val="009E5B08"/>
    <w:rsid w:val="009E5BD4"/>
    <w:rsid w:val="009E6186"/>
    <w:rsid w:val="009E6371"/>
    <w:rsid w:val="009E6696"/>
    <w:rsid w:val="009E70AD"/>
    <w:rsid w:val="009E7517"/>
    <w:rsid w:val="009F05D2"/>
    <w:rsid w:val="009F0B4C"/>
    <w:rsid w:val="009F1527"/>
    <w:rsid w:val="009F2AD9"/>
    <w:rsid w:val="009F4274"/>
    <w:rsid w:val="009F4AEE"/>
    <w:rsid w:val="009F513C"/>
    <w:rsid w:val="009F60F3"/>
    <w:rsid w:val="009F6DA4"/>
    <w:rsid w:val="009F78DB"/>
    <w:rsid w:val="00A00872"/>
    <w:rsid w:val="00A0098C"/>
    <w:rsid w:val="00A01F06"/>
    <w:rsid w:val="00A02175"/>
    <w:rsid w:val="00A028C6"/>
    <w:rsid w:val="00A02DA4"/>
    <w:rsid w:val="00A03207"/>
    <w:rsid w:val="00A0375F"/>
    <w:rsid w:val="00A04FC5"/>
    <w:rsid w:val="00A0589D"/>
    <w:rsid w:val="00A06731"/>
    <w:rsid w:val="00A068DB"/>
    <w:rsid w:val="00A06AB2"/>
    <w:rsid w:val="00A072B7"/>
    <w:rsid w:val="00A10CE5"/>
    <w:rsid w:val="00A119F5"/>
    <w:rsid w:val="00A1275B"/>
    <w:rsid w:val="00A12939"/>
    <w:rsid w:val="00A12967"/>
    <w:rsid w:val="00A12BE0"/>
    <w:rsid w:val="00A12DA3"/>
    <w:rsid w:val="00A12E77"/>
    <w:rsid w:val="00A13824"/>
    <w:rsid w:val="00A13D18"/>
    <w:rsid w:val="00A1622D"/>
    <w:rsid w:val="00A16630"/>
    <w:rsid w:val="00A16A72"/>
    <w:rsid w:val="00A16B0D"/>
    <w:rsid w:val="00A217EA"/>
    <w:rsid w:val="00A2222F"/>
    <w:rsid w:val="00A22C64"/>
    <w:rsid w:val="00A23658"/>
    <w:rsid w:val="00A23913"/>
    <w:rsid w:val="00A239E2"/>
    <w:rsid w:val="00A23E95"/>
    <w:rsid w:val="00A241DE"/>
    <w:rsid w:val="00A2422F"/>
    <w:rsid w:val="00A24532"/>
    <w:rsid w:val="00A24619"/>
    <w:rsid w:val="00A24A6B"/>
    <w:rsid w:val="00A24CD4"/>
    <w:rsid w:val="00A24E41"/>
    <w:rsid w:val="00A25187"/>
    <w:rsid w:val="00A2671A"/>
    <w:rsid w:val="00A273C0"/>
    <w:rsid w:val="00A27599"/>
    <w:rsid w:val="00A277A4"/>
    <w:rsid w:val="00A27CF0"/>
    <w:rsid w:val="00A30C7A"/>
    <w:rsid w:val="00A30E08"/>
    <w:rsid w:val="00A318CB"/>
    <w:rsid w:val="00A31C21"/>
    <w:rsid w:val="00A31ED9"/>
    <w:rsid w:val="00A325C5"/>
    <w:rsid w:val="00A32812"/>
    <w:rsid w:val="00A3301D"/>
    <w:rsid w:val="00A3333A"/>
    <w:rsid w:val="00A339B3"/>
    <w:rsid w:val="00A342F9"/>
    <w:rsid w:val="00A346E5"/>
    <w:rsid w:val="00A35818"/>
    <w:rsid w:val="00A366DB"/>
    <w:rsid w:val="00A4060F"/>
    <w:rsid w:val="00A406DB"/>
    <w:rsid w:val="00A40C3E"/>
    <w:rsid w:val="00A419E5"/>
    <w:rsid w:val="00A41D6D"/>
    <w:rsid w:val="00A42183"/>
    <w:rsid w:val="00A427BE"/>
    <w:rsid w:val="00A42A71"/>
    <w:rsid w:val="00A43023"/>
    <w:rsid w:val="00A43405"/>
    <w:rsid w:val="00A43610"/>
    <w:rsid w:val="00A44C7A"/>
    <w:rsid w:val="00A456B3"/>
    <w:rsid w:val="00A469F4"/>
    <w:rsid w:val="00A47E89"/>
    <w:rsid w:val="00A503DB"/>
    <w:rsid w:val="00A51E1C"/>
    <w:rsid w:val="00A51F53"/>
    <w:rsid w:val="00A53778"/>
    <w:rsid w:val="00A53F17"/>
    <w:rsid w:val="00A53FD3"/>
    <w:rsid w:val="00A547EB"/>
    <w:rsid w:val="00A54AFF"/>
    <w:rsid w:val="00A54CBF"/>
    <w:rsid w:val="00A55252"/>
    <w:rsid w:val="00A5599F"/>
    <w:rsid w:val="00A55A67"/>
    <w:rsid w:val="00A579F0"/>
    <w:rsid w:val="00A604D4"/>
    <w:rsid w:val="00A61180"/>
    <w:rsid w:val="00A614EA"/>
    <w:rsid w:val="00A616B4"/>
    <w:rsid w:val="00A61918"/>
    <w:rsid w:val="00A61EC9"/>
    <w:rsid w:val="00A6252B"/>
    <w:rsid w:val="00A6384C"/>
    <w:rsid w:val="00A63F5C"/>
    <w:rsid w:val="00A65A3F"/>
    <w:rsid w:val="00A65C5A"/>
    <w:rsid w:val="00A66179"/>
    <w:rsid w:val="00A66282"/>
    <w:rsid w:val="00A665E3"/>
    <w:rsid w:val="00A671E7"/>
    <w:rsid w:val="00A67454"/>
    <w:rsid w:val="00A677AF"/>
    <w:rsid w:val="00A67865"/>
    <w:rsid w:val="00A67901"/>
    <w:rsid w:val="00A71149"/>
    <w:rsid w:val="00A7198E"/>
    <w:rsid w:val="00A71B32"/>
    <w:rsid w:val="00A71FC0"/>
    <w:rsid w:val="00A7215E"/>
    <w:rsid w:val="00A72792"/>
    <w:rsid w:val="00A72B65"/>
    <w:rsid w:val="00A72E4F"/>
    <w:rsid w:val="00A731BC"/>
    <w:rsid w:val="00A73A0F"/>
    <w:rsid w:val="00A74C55"/>
    <w:rsid w:val="00A74CC6"/>
    <w:rsid w:val="00A74D47"/>
    <w:rsid w:val="00A75CC6"/>
    <w:rsid w:val="00A7613B"/>
    <w:rsid w:val="00A76F77"/>
    <w:rsid w:val="00A77B1E"/>
    <w:rsid w:val="00A77F1A"/>
    <w:rsid w:val="00A8032A"/>
    <w:rsid w:val="00A80823"/>
    <w:rsid w:val="00A80B45"/>
    <w:rsid w:val="00A81788"/>
    <w:rsid w:val="00A81C1F"/>
    <w:rsid w:val="00A81DCE"/>
    <w:rsid w:val="00A8219B"/>
    <w:rsid w:val="00A82497"/>
    <w:rsid w:val="00A826AD"/>
    <w:rsid w:val="00A82E4C"/>
    <w:rsid w:val="00A82E57"/>
    <w:rsid w:val="00A83420"/>
    <w:rsid w:val="00A835A3"/>
    <w:rsid w:val="00A83816"/>
    <w:rsid w:val="00A83E1D"/>
    <w:rsid w:val="00A84B49"/>
    <w:rsid w:val="00A84ED7"/>
    <w:rsid w:val="00A84F31"/>
    <w:rsid w:val="00A85176"/>
    <w:rsid w:val="00A8523C"/>
    <w:rsid w:val="00A857FB"/>
    <w:rsid w:val="00A85949"/>
    <w:rsid w:val="00A85C76"/>
    <w:rsid w:val="00A86686"/>
    <w:rsid w:val="00A86B13"/>
    <w:rsid w:val="00A86BC2"/>
    <w:rsid w:val="00A86D98"/>
    <w:rsid w:val="00A8772E"/>
    <w:rsid w:val="00A879A4"/>
    <w:rsid w:val="00A87DC4"/>
    <w:rsid w:val="00A9169C"/>
    <w:rsid w:val="00A926BA"/>
    <w:rsid w:val="00A92B20"/>
    <w:rsid w:val="00A930ED"/>
    <w:rsid w:val="00A93346"/>
    <w:rsid w:val="00A935DB"/>
    <w:rsid w:val="00A9411A"/>
    <w:rsid w:val="00A942A9"/>
    <w:rsid w:val="00A946FA"/>
    <w:rsid w:val="00A96F99"/>
    <w:rsid w:val="00A970E8"/>
    <w:rsid w:val="00A97446"/>
    <w:rsid w:val="00AA00BB"/>
    <w:rsid w:val="00AA07F5"/>
    <w:rsid w:val="00AA0C86"/>
    <w:rsid w:val="00AA0D8B"/>
    <w:rsid w:val="00AA101C"/>
    <w:rsid w:val="00AA183E"/>
    <w:rsid w:val="00AA20E9"/>
    <w:rsid w:val="00AA22FF"/>
    <w:rsid w:val="00AA27CD"/>
    <w:rsid w:val="00AA2818"/>
    <w:rsid w:val="00AA2BBD"/>
    <w:rsid w:val="00AA34E5"/>
    <w:rsid w:val="00AA3735"/>
    <w:rsid w:val="00AA3BDB"/>
    <w:rsid w:val="00AA41DD"/>
    <w:rsid w:val="00AA47E6"/>
    <w:rsid w:val="00AA47F9"/>
    <w:rsid w:val="00AA583C"/>
    <w:rsid w:val="00AA5A06"/>
    <w:rsid w:val="00AA5A6A"/>
    <w:rsid w:val="00AA6152"/>
    <w:rsid w:val="00AA71B9"/>
    <w:rsid w:val="00AA7415"/>
    <w:rsid w:val="00AA7904"/>
    <w:rsid w:val="00AA7A3A"/>
    <w:rsid w:val="00AA7C34"/>
    <w:rsid w:val="00AA7D14"/>
    <w:rsid w:val="00AB11E8"/>
    <w:rsid w:val="00AB18C1"/>
    <w:rsid w:val="00AB36C2"/>
    <w:rsid w:val="00AB370D"/>
    <w:rsid w:val="00AB448C"/>
    <w:rsid w:val="00AB48D3"/>
    <w:rsid w:val="00AB4B5D"/>
    <w:rsid w:val="00AB4E83"/>
    <w:rsid w:val="00AB58D0"/>
    <w:rsid w:val="00AB6692"/>
    <w:rsid w:val="00AB736F"/>
    <w:rsid w:val="00AC00FE"/>
    <w:rsid w:val="00AC08BE"/>
    <w:rsid w:val="00AC1135"/>
    <w:rsid w:val="00AC1C4C"/>
    <w:rsid w:val="00AC1DB5"/>
    <w:rsid w:val="00AC24F2"/>
    <w:rsid w:val="00AC3A23"/>
    <w:rsid w:val="00AC3B94"/>
    <w:rsid w:val="00AC3C02"/>
    <w:rsid w:val="00AC3C73"/>
    <w:rsid w:val="00AC42F5"/>
    <w:rsid w:val="00AC5E48"/>
    <w:rsid w:val="00AC613E"/>
    <w:rsid w:val="00AC626E"/>
    <w:rsid w:val="00AC63C5"/>
    <w:rsid w:val="00AC7036"/>
    <w:rsid w:val="00AC7C45"/>
    <w:rsid w:val="00AD0141"/>
    <w:rsid w:val="00AD01EE"/>
    <w:rsid w:val="00AD125D"/>
    <w:rsid w:val="00AD166B"/>
    <w:rsid w:val="00AD18AA"/>
    <w:rsid w:val="00AD1F9C"/>
    <w:rsid w:val="00AD284A"/>
    <w:rsid w:val="00AD2B5A"/>
    <w:rsid w:val="00AD3B89"/>
    <w:rsid w:val="00AD45D4"/>
    <w:rsid w:val="00AD4748"/>
    <w:rsid w:val="00AD4D1C"/>
    <w:rsid w:val="00AD4D41"/>
    <w:rsid w:val="00AD4EF0"/>
    <w:rsid w:val="00AD4F7C"/>
    <w:rsid w:val="00AD507E"/>
    <w:rsid w:val="00AD5BCE"/>
    <w:rsid w:val="00AD5F63"/>
    <w:rsid w:val="00AD6160"/>
    <w:rsid w:val="00AD6553"/>
    <w:rsid w:val="00AD65EA"/>
    <w:rsid w:val="00AD6784"/>
    <w:rsid w:val="00AD692D"/>
    <w:rsid w:val="00AD73BA"/>
    <w:rsid w:val="00AE07A4"/>
    <w:rsid w:val="00AE07C5"/>
    <w:rsid w:val="00AE0D76"/>
    <w:rsid w:val="00AE1926"/>
    <w:rsid w:val="00AE23CA"/>
    <w:rsid w:val="00AE2928"/>
    <w:rsid w:val="00AE2A6A"/>
    <w:rsid w:val="00AE30D8"/>
    <w:rsid w:val="00AE3E33"/>
    <w:rsid w:val="00AE49EB"/>
    <w:rsid w:val="00AE4EAE"/>
    <w:rsid w:val="00AE508A"/>
    <w:rsid w:val="00AE5146"/>
    <w:rsid w:val="00AE579D"/>
    <w:rsid w:val="00AE6A37"/>
    <w:rsid w:val="00AE7C20"/>
    <w:rsid w:val="00AE7C60"/>
    <w:rsid w:val="00AF0A99"/>
    <w:rsid w:val="00AF10D2"/>
    <w:rsid w:val="00AF1E7A"/>
    <w:rsid w:val="00AF2532"/>
    <w:rsid w:val="00AF399C"/>
    <w:rsid w:val="00AF4CAF"/>
    <w:rsid w:val="00AF50E8"/>
    <w:rsid w:val="00AF5A40"/>
    <w:rsid w:val="00AF5F71"/>
    <w:rsid w:val="00AF6278"/>
    <w:rsid w:val="00AF6863"/>
    <w:rsid w:val="00AF71BC"/>
    <w:rsid w:val="00AF7CE4"/>
    <w:rsid w:val="00AF7FE8"/>
    <w:rsid w:val="00B0054E"/>
    <w:rsid w:val="00B0241C"/>
    <w:rsid w:val="00B02910"/>
    <w:rsid w:val="00B034D7"/>
    <w:rsid w:val="00B03D5E"/>
    <w:rsid w:val="00B03D8C"/>
    <w:rsid w:val="00B04648"/>
    <w:rsid w:val="00B0572C"/>
    <w:rsid w:val="00B0596B"/>
    <w:rsid w:val="00B059CF"/>
    <w:rsid w:val="00B060CA"/>
    <w:rsid w:val="00B06565"/>
    <w:rsid w:val="00B0677A"/>
    <w:rsid w:val="00B070D3"/>
    <w:rsid w:val="00B07CD6"/>
    <w:rsid w:val="00B119C5"/>
    <w:rsid w:val="00B11AF3"/>
    <w:rsid w:val="00B11CA8"/>
    <w:rsid w:val="00B1247F"/>
    <w:rsid w:val="00B131B7"/>
    <w:rsid w:val="00B133D2"/>
    <w:rsid w:val="00B137D0"/>
    <w:rsid w:val="00B13CFB"/>
    <w:rsid w:val="00B143E9"/>
    <w:rsid w:val="00B14B76"/>
    <w:rsid w:val="00B15BF7"/>
    <w:rsid w:val="00B15FFF"/>
    <w:rsid w:val="00B160C8"/>
    <w:rsid w:val="00B161F8"/>
    <w:rsid w:val="00B165C6"/>
    <w:rsid w:val="00B16639"/>
    <w:rsid w:val="00B168C9"/>
    <w:rsid w:val="00B1701D"/>
    <w:rsid w:val="00B172A0"/>
    <w:rsid w:val="00B178E5"/>
    <w:rsid w:val="00B20532"/>
    <w:rsid w:val="00B20FD5"/>
    <w:rsid w:val="00B21778"/>
    <w:rsid w:val="00B230EC"/>
    <w:rsid w:val="00B25ACE"/>
    <w:rsid w:val="00B26379"/>
    <w:rsid w:val="00B27C71"/>
    <w:rsid w:val="00B27DE5"/>
    <w:rsid w:val="00B30A67"/>
    <w:rsid w:val="00B3188A"/>
    <w:rsid w:val="00B32165"/>
    <w:rsid w:val="00B32647"/>
    <w:rsid w:val="00B32C13"/>
    <w:rsid w:val="00B32C2C"/>
    <w:rsid w:val="00B33356"/>
    <w:rsid w:val="00B337FC"/>
    <w:rsid w:val="00B33982"/>
    <w:rsid w:val="00B34768"/>
    <w:rsid w:val="00B34920"/>
    <w:rsid w:val="00B3495B"/>
    <w:rsid w:val="00B34AB9"/>
    <w:rsid w:val="00B34EF4"/>
    <w:rsid w:val="00B35619"/>
    <w:rsid w:val="00B35983"/>
    <w:rsid w:val="00B36255"/>
    <w:rsid w:val="00B36C79"/>
    <w:rsid w:val="00B37700"/>
    <w:rsid w:val="00B403E0"/>
    <w:rsid w:val="00B412D6"/>
    <w:rsid w:val="00B42100"/>
    <w:rsid w:val="00B42F25"/>
    <w:rsid w:val="00B435B8"/>
    <w:rsid w:val="00B438CA"/>
    <w:rsid w:val="00B439C7"/>
    <w:rsid w:val="00B43C9A"/>
    <w:rsid w:val="00B44276"/>
    <w:rsid w:val="00B446C4"/>
    <w:rsid w:val="00B44CC2"/>
    <w:rsid w:val="00B45B74"/>
    <w:rsid w:val="00B45BFE"/>
    <w:rsid w:val="00B4620B"/>
    <w:rsid w:val="00B46888"/>
    <w:rsid w:val="00B46C78"/>
    <w:rsid w:val="00B46D5D"/>
    <w:rsid w:val="00B505E7"/>
    <w:rsid w:val="00B506D7"/>
    <w:rsid w:val="00B50D42"/>
    <w:rsid w:val="00B529D2"/>
    <w:rsid w:val="00B52DB4"/>
    <w:rsid w:val="00B53E28"/>
    <w:rsid w:val="00B5420A"/>
    <w:rsid w:val="00B5551D"/>
    <w:rsid w:val="00B55B0B"/>
    <w:rsid w:val="00B55C5B"/>
    <w:rsid w:val="00B55F5C"/>
    <w:rsid w:val="00B5620B"/>
    <w:rsid w:val="00B56341"/>
    <w:rsid w:val="00B5641C"/>
    <w:rsid w:val="00B564FD"/>
    <w:rsid w:val="00B570A0"/>
    <w:rsid w:val="00B602C8"/>
    <w:rsid w:val="00B6080C"/>
    <w:rsid w:val="00B611FC"/>
    <w:rsid w:val="00B61427"/>
    <w:rsid w:val="00B61F1A"/>
    <w:rsid w:val="00B627A2"/>
    <w:rsid w:val="00B63073"/>
    <w:rsid w:val="00B632FC"/>
    <w:rsid w:val="00B63FE7"/>
    <w:rsid w:val="00B64001"/>
    <w:rsid w:val="00B64122"/>
    <w:rsid w:val="00B64139"/>
    <w:rsid w:val="00B641FE"/>
    <w:rsid w:val="00B64B73"/>
    <w:rsid w:val="00B64F76"/>
    <w:rsid w:val="00B6518B"/>
    <w:rsid w:val="00B6542D"/>
    <w:rsid w:val="00B65FE6"/>
    <w:rsid w:val="00B66BFF"/>
    <w:rsid w:val="00B66D5F"/>
    <w:rsid w:val="00B66DE1"/>
    <w:rsid w:val="00B66FB5"/>
    <w:rsid w:val="00B67723"/>
    <w:rsid w:val="00B67BA5"/>
    <w:rsid w:val="00B706D0"/>
    <w:rsid w:val="00B721B4"/>
    <w:rsid w:val="00B724E7"/>
    <w:rsid w:val="00B7258D"/>
    <w:rsid w:val="00B72EA7"/>
    <w:rsid w:val="00B73D81"/>
    <w:rsid w:val="00B76603"/>
    <w:rsid w:val="00B76A19"/>
    <w:rsid w:val="00B77181"/>
    <w:rsid w:val="00B7733A"/>
    <w:rsid w:val="00B77F7B"/>
    <w:rsid w:val="00B8006E"/>
    <w:rsid w:val="00B8078C"/>
    <w:rsid w:val="00B80C21"/>
    <w:rsid w:val="00B80EF2"/>
    <w:rsid w:val="00B8101B"/>
    <w:rsid w:val="00B81A82"/>
    <w:rsid w:val="00B81E13"/>
    <w:rsid w:val="00B82193"/>
    <w:rsid w:val="00B83234"/>
    <w:rsid w:val="00B83A21"/>
    <w:rsid w:val="00B83FA5"/>
    <w:rsid w:val="00B84188"/>
    <w:rsid w:val="00B8441F"/>
    <w:rsid w:val="00B8493B"/>
    <w:rsid w:val="00B85FD1"/>
    <w:rsid w:val="00B865D0"/>
    <w:rsid w:val="00B87034"/>
    <w:rsid w:val="00B90A0E"/>
    <w:rsid w:val="00B9121C"/>
    <w:rsid w:val="00B916D3"/>
    <w:rsid w:val="00B92C7F"/>
    <w:rsid w:val="00B92DAA"/>
    <w:rsid w:val="00B936B1"/>
    <w:rsid w:val="00B94052"/>
    <w:rsid w:val="00B947EC"/>
    <w:rsid w:val="00B94D37"/>
    <w:rsid w:val="00B94ED2"/>
    <w:rsid w:val="00B9548A"/>
    <w:rsid w:val="00B961CB"/>
    <w:rsid w:val="00B97590"/>
    <w:rsid w:val="00B9798D"/>
    <w:rsid w:val="00BA012B"/>
    <w:rsid w:val="00BA044B"/>
    <w:rsid w:val="00BA0640"/>
    <w:rsid w:val="00BA0A23"/>
    <w:rsid w:val="00BA0D17"/>
    <w:rsid w:val="00BA13E0"/>
    <w:rsid w:val="00BA231F"/>
    <w:rsid w:val="00BA2E5E"/>
    <w:rsid w:val="00BA32D9"/>
    <w:rsid w:val="00BA55C0"/>
    <w:rsid w:val="00BA5B75"/>
    <w:rsid w:val="00BA6831"/>
    <w:rsid w:val="00BA6862"/>
    <w:rsid w:val="00BA6B69"/>
    <w:rsid w:val="00BA7146"/>
    <w:rsid w:val="00BA78DB"/>
    <w:rsid w:val="00BB012F"/>
    <w:rsid w:val="00BB0BCE"/>
    <w:rsid w:val="00BB1269"/>
    <w:rsid w:val="00BB14F8"/>
    <w:rsid w:val="00BB1EB0"/>
    <w:rsid w:val="00BB3467"/>
    <w:rsid w:val="00BB359B"/>
    <w:rsid w:val="00BB4207"/>
    <w:rsid w:val="00BB54DC"/>
    <w:rsid w:val="00BB5C8B"/>
    <w:rsid w:val="00BB5E76"/>
    <w:rsid w:val="00BB7341"/>
    <w:rsid w:val="00BB74E1"/>
    <w:rsid w:val="00BB7A96"/>
    <w:rsid w:val="00BC0AEA"/>
    <w:rsid w:val="00BC0DBE"/>
    <w:rsid w:val="00BC14F5"/>
    <w:rsid w:val="00BC1B51"/>
    <w:rsid w:val="00BC1D50"/>
    <w:rsid w:val="00BC306A"/>
    <w:rsid w:val="00BC38A8"/>
    <w:rsid w:val="00BC46B8"/>
    <w:rsid w:val="00BC483F"/>
    <w:rsid w:val="00BC5262"/>
    <w:rsid w:val="00BC5B8B"/>
    <w:rsid w:val="00BC5CE8"/>
    <w:rsid w:val="00BC675F"/>
    <w:rsid w:val="00BC6D08"/>
    <w:rsid w:val="00BC752D"/>
    <w:rsid w:val="00BC7E08"/>
    <w:rsid w:val="00BD0899"/>
    <w:rsid w:val="00BD1052"/>
    <w:rsid w:val="00BD20FA"/>
    <w:rsid w:val="00BD2397"/>
    <w:rsid w:val="00BD2A1D"/>
    <w:rsid w:val="00BD2C21"/>
    <w:rsid w:val="00BD2DE0"/>
    <w:rsid w:val="00BD3959"/>
    <w:rsid w:val="00BD4073"/>
    <w:rsid w:val="00BD44B3"/>
    <w:rsid w:val="00BD51D6"/>
    <w:rsid w:val="00BD56DC"/>
    <w:rsid w:val="00BD7514"/>
    <w:rsid w:val="00BD7A3B"/>
    <w:rsid w:val="00BE0ECD"/>
    <w:rsid w:val="00BE1907"/>
    <w:rsid w:val="00BE2096"/>
    <w:rsid w:val="00BE229F"/>
    <w:rsid w:val="00BE284D"/>
    <w:rsid w:val="00BE2A6A"/>
    <w:rsid w:val="00BE2C72"/>
    <w:rsid w:val="00BE3860"/>
    <w:rsid w:val="00BE3A8F"/>
    <w:rsid w:val="00BE41AD"/>
    <w:rsid w:val="00BE43F6"/>
    <w:rsid w:val="00BE5ED7"/>
    <w:rsid w:val="00BE621D"/>
    <w:rsid w:val="00BE6DD4"/>
    <w:rsid w:val="00BE7820"/>
    <w:rsid w:val="00BE7A2B"/>
    <w:rsid w:val="00BF0128"/>
    <w:rsid w:val="00BF0501"/>
    <w:rsid w:val="00BF0B7A"/>
    <w:rsid w:val="00BF0D75"/>
    <w:rsid w:val="00BF0E03"/>
    <w:rsid w:val="00BF133D"/>
    <w:rsid w:val="00BF18ED"/>
    <w:rsid w:val="00BF1CDC"/>
    <w:rsid w:val="00BF3793"/>
    <w:rsid w:val="00BF4D73"/>
    <w:rsid w:val="00BF57FA"/>
    <w:rsid w:val="00BF6832"/>
    <w:rsid w:val="00BF6A66"/>
    <w:rsid w:val="00BF6B45"/>
    <w:rsid w:val="00BF7819"/>
    <w:rsid w:val="00C0005D"/>
    <w:rsid w:val="00C0030A"/>
    <w:rsid w:val="00C00B9B"/>
    <w:rsid w:val="00C01C1F"/>
    <w:rsid w:val="00C02180"/>
    <w:rsid w:val="00C02D98"/>
    <w:rsid w:val="00C02E85"/>
    <w:rsid w:val="00C031A0"/>
    <w:rsid w:val="00C03EBD"/>
    <w:rsid w:val="00C042DF"/>
    <w:rsid w:val="00C0480D"/>
    <w:rsid w:val="00C04996"/>
    <w:rsid w:val="00C04E70"/>
    <w:rsid w:val="00C04FCA"/>
    <w:rsid w:val="00C05B21"/>
    <w:rsid w:val="00C0703E"/>
    <w:rsid w:val="00C07A33"/>
    <w:rsid w:val="00C10128"/>
    <w:rsid w:val="00C10188"/>
    <w:rsid w:val="00C10595"/>
    <w:rsid w:val="00C10DE4"/>
    <w:rsid w:val="00C1119E"/>
    <w:rsid w:val="00C111C6"/>
    <w:rsid w:val="00C112E0"/>
    <w:rsid w:val="00C114CE"/>
    <w:rsid w:val="00C11850"/>
    <w:rsid w:val="00C12771"/>
    <w:rsid w:val="00C12E24"/>
    <w:rsid w:val="00C1316E"/>
    <w:rsid w:val="00C13395"/>
    <w:rsid w:val="00C1340D"/>
    <w:rsid w:val="00C1397F"/>
    <w:rsid w:val="00C13C81"/>
    <w:rsid w:val="00C13DA4"/>
    <w:rsid w:val="00C13EB2"/>
    <w:rsid w:val="00C1417C"/>
    <w:rsid w:val="00C15A8B"/>
    <w:rsid w:val="00C15F75"/>
    <w:rsid w:val="00C16E66"/>
    <w:rsid w:val="00C16E80"/>
    <w:rsid w:val="00C171B1"/>
    <w:rsid w:val="00C1767B"/>
    <w:rsid w:val="00C17842"/>
    <w:rsid w:val="00C205A4"/>
    <w:rsid w:val="00C206A1"/>
    <w:rsid w:val="00C21561"/>
    <w:rsid w:val="00C21A58"/>
    <w:rsid w:val="00C22120"/>
    <w:rsid w:val="00C231E7"/>
    <w:rsid w:val="00C23CAA"/>
    <w:rsid w:val="00C24AFE"/>
    <w:rsid w:val="00C25851"/>
    <w:rsid w:val="00C258B5"/>
    <w:rsid w:val="00C25D77"/>
    <w:rsid w:val="00C26207"/>
    <w:rsid w:val="00C2657F"/>
    <w:rsid w:val="00C26793"/>
    <w:rsid w:val="00C26BA2"/>
    <w:rsid w:val="00C27103"/>
    <w:rsid w:val="00C2787A"/>
    <w:rsid w:val="00C27951"/>
    <w:rsid w:val="00C301FE"/>
    <w:rsid w:val="00C30D18"/>
    <w:rsid w:val="00C315CB"/>
    <w:rsid w:val="00C31C19"/>
    <w:rsid w:val="00C31E90"/>
    <w:rsid w:val="00C32440"/>
    <w:rsid w:val="00C32A04"/>
    <w:rsid w:val="00C33307"/>
    <w:rsid w:val="00C33BD4"/>
    <w:rsid w:val="00C3404B"/>
    <w:rsid w:val="00C35591"/>
    <w:rsid w:val="00C35603"/>
    <w:rsid w:val="00C36BA4"/>
    <w:rsid w:val="00C3747E"/>
    <w:rsid w:val="00C3799A"/>
    <w:rsid w:val="00C4128A"/>
    <w:rsid w:val="00C437FE"/>
    <w:rsid w:val="00C46122"/>
    <w:rsid w:val="00C462AB"/>
    <w:rsid w:val="00C46493"/>
    <w:rsid w:val="00C47045"/>
    <w:rsid w:val="00C475A9"/>
    <w:rsid w:val="00C47CE5"/>
    <w:rsid w:val="00C50889"/>
    <w:rsid w:val="00C50F8C"/>
    <w:rsid w:val="00C51107"/>
    <w:rsid w:val="00C5132C"/>
    <w:rsid w:val="00C51EED"/>
    <w:rsid w:val="00C52E3E"/>
    <w:rsid w:val="00C536D3"/>
    <w:rsid w:val="00C546A2"/>
    <w:rsid w:val="00C54B60"/>
    <w:rsid w:val="00C55585"/>
    <w:rsid w:val="00C55B46"/>
    <w:rsid w:val="00C56199"/>
    <w:rsid w:val="00C56362"/>
    <w:rsid w:val="00C56697"/>
    <w:rsid w:val="00C56D1A"/>
    <w:rsid w:val="00C60A75"/>
    <w:rsid w:val="00C60F4C"/>
    <w:rsid w:val="00C61ADA"/>
    <w:rsid w:val="00C62718"/>
    <w:rsid w:val="00C6287E"/>
    <w:rsid w:val="00C62EA4"/>
    <w:rsid w:val="00C6303E"/>
    <w:rsid w:val="00C6363D"/>
    <w:rsid w:val="00C63C80"/>
    <w:rsid w:val="00C63CE2"/>
    <w:rsid w:val="00C63DA1"/>
    <w:rsid w:val="00C63E35"/>
    <w:rsid w:val="00C6411C"/>
    <w:rsid w:val="00C64E0F"/>
    <w:rsid w:val="00C64FCA"/>
    <w:rsid w:val="00C652F4"/>
    <w:rsid w:val="00C6641A"/>
    <w:rsid w:val="00C667D2"/>
    <w:rsid w:val="00C67569"/>
    <w:rsid w:val="00C676EE"/>
    <w:rsid w:val="00C6773E"/>
    <w:rsid w:val="00C67DDC"/>
    <w:rsid w:val="00C708FD"/>
    <w:rsid w:val="00C70B27"/>
    <w:rsid w:val="00C70FD5"/>
    <w:rsid w:val="00C7164F"/>
    <w:rsid w:val="00C71972"/>
    <w:rsid w:val="00C72563"/>
    <w:rsid w:val="00C73241"/>
    <w:rsid w:val="00C73602"/>
    <w:rsid w:val="00C74DC2"/>
    <w:rsid w:val="00C757F1"/>
    <w:rsid w:val="00C759FE"/>
    <w:rsid w:val="00C75A13"/>
    <w:rsid w:val="00C77808"/>
    <w:rsid w:val="00C77A95"/>
    <w:rsid w:val="00C80025"/>
    <w:rsid w:val="00C801B6"/>
    <w:rsid w:val="00C80502"/>
    <w:rsid w:val="00C806C0"/>
    <w:rsid w:val="00C808EC"/>
    <w:rsid w:val="00C80A8B"/>
    <w:rsid w:val="00C80E89"/>
    <w:rsid w:val="00C820BC"/>
    <w:rsid w:val="00C828EF"/>
    <w:rsid w:val="00C84848"/>
    <w:rsid w:val="00C84B28"/>
    <w:rsid w:val="00C85CB3"/>
    <w:rsid w:val="00C86788"/>
    <w:rsid w:val="00C86994"/>
    <w:rsid w:val="00C87478"/>
    <w:rsid w:val="00C8761C"/>
    <w:rsid w:val="00C87F17"/>
    <w:rsid w:val="00C9021F"/>
    <w:rsid w:val="00C90664"/>
    <w:rsid w:val="00C91259"/>
    <w:rsid w:val="00C916EC"/>
    <w:rsid w:val="00C91F2B"/>
    <w:rsid w:val="00C92CF6"/>
    <w:rsid w:val="00C93043"/>
    <w:rsid w:val="00C9348A"/>
    <w:rsid w:val="00C93811"/>
    <w:rsid w:val="00C938C8"/>
    <w:rsid w:val="00C950E8"/>
    <w:rsid w:val="00C951AF"/>
    <w:rsid w:val="00C95292"/>
    <w:rsid w:val="00C97030"/>
    <w:rsid w:val="00C9715B"/>
    <w:rsid w:val="00C97729"/>
    <w:rsid w:val="00C978D3"/>
    <w:rsid w:val="00C97C1A"/>
    <w:rsid w:val="00CA00DD"/>
    <w:rsid w:val="00CA01AF"/>
    <w:rsid w:val="00CA05F3"/>
    <w:rsid w:val="00CA082B"/>
    <w:rsid w:val="00CA0B47"/>
    <w:rsid w:val="00CA1C7D"/>
    <w:rsid w:val="00CA1CBC"/>
    <w:rsid w:val="00CA1E94"/>
    <w:rsid w:val="00CA1EF9"/>
    <w:rsid w:val="00CA22D1"/>
    <w:rsid w:val="00CA2B64"/>
    <w:rsid w:val="00CA30AD"/>
    <w:rsid w:val="00CA3A9C"/>
    <w:rsid w:val="00CA3E34"/>
    <w:rsid w:val="00CA3EDF"/>
    <w:rsid w:val="00CA4559"/>
    <w:rsid w:val="00CA4E6E"/>
    <w:rsid w:val="00CA50CE"/>
    <w:rsid w:val="00CA710D"/>
    <w:rsid w:val="00CA763F"/>
    <w:rsid w:val="00CA7C36"/>
    <w:rsid w:val="00CA7DFF"/>
    <w:rsid w:val="00CB025F"/>
    <w:rsid w:val="00CB09D0"/>
    <w:rsid w:val="00CB0E4C"/>
    <w:rsid w:val="00CB13BD"/>
    <w:rsid w:val="00CB222A"/>
    <w:rsid w:val="00CB24D4"/>
    <w:rsid w:val="00CB288B"/>
    <w:rsid w:val="00CB2908"/>
    <w:rsid w:val="00CB327C"/>
    <w:rsid w:val="00CB38A5"/>
    <w:rsid w:val="00CB4FDE"/>
    <w:rsid w:val="00CB52EF"/>
    <w:rsid w:val="00CB53EA"/>
    <w:rsid w:val="00CB5D0B"/>
    <w:rsid w:val="00CB6431"/>
    <w:rsid w:val="00CB67F7"/>
    <w:rsid w:val="00CB6A68"/>
    <w:rsid w:val="00CB6DD0"/>
    <w:rsid w:val="00CB6DF0"/>
    <w:rsid w:val="00CB71AB"/>
    <w:rsid w:val="00CB7C3A"/>
    <w:rsid w:val="00CC0078"/>
    <w:rsid w:val="00CC0FEF"/>
    <w:rsid w:val="00CC14D2"/>
    <w:rsid w:val="00CC1542"/>
    <w:rsid w:val="00CC1E30"/>
    <w:rsid w:val="00CC2270"/>
    <w:rsid w:val="00CC28B2"/>
    <w:rsid w:val="00CC3B1E"/>
    <w:rsid w:val="00CC3F76"/>
    <w:rsid w:val="00CC45CA"/>
    <w:rsid w:val="00CC4FA7"/>
    <w:rsid w:val="00CC521F"/>
    <w:rsid w:val="00CC6586"/>
    <w:rsid w:val="00CC6C36"/>
    <w:rsid w:val="00CC7ACC"/>
    <w:rsid w:val="00CC7EA9"/>
    <w:rsid w:val="00CC7ECD"/>
    <w:rsid w:val="00CD0173"/>
    <w:rsid w:val="00CD02AF"/>
    <w:rsid w:val="00CD10AB"/>
    <w:rsid w:val="00CD149B"/>
    <w:rsid w:val="00CD1639"/>
    <w:rsid w:val="00CD170B"/>
    <w:rsid w:val="00CD18FE"/>
    <w:rsid w:val="00CD237B"/>
    <w:rsid w:val="00CD3762"/>
    <w:rsid w:val="00CD3CB6"/>
    <w:rsid w:val="00CD4497"/>
    <w:rsid w:val="00CD4504"/>
    <w:rsid w:val="00CD5482"/>
    <w:rsid w:val="00CD58E2"/>
    <w:rsid w:val="00CD590E"/>
    <w:rsid w:val="00CD5945"/>
    <w:rsid w:val="00CD5B23"/>
    <w:rsid w:val="00CD5F50"/>
    <w:rsid w:val="00CD6159"/>
    <w:rsid w:val="00CD68A8"/>
    <w:rsid w:val="00CD6914"/>
    <w:rsid w:val="00CD6E48"/>
    <w:rsid w:val="00CD76FE"/>
    <w:rsid w:val="00CD7C36"/>
    <w:rsid w:val="00CE16CC"/>
    <w:rsid w:val="00CE1786"/>
    <w:rsid w:val="00CE17B2"/>
    <w:rsid w:val="00CE18E4"/>
    <w:rsid w:val="00CE1986"/>
    <w:rsid w:val="00CE304E"/>
    <w:rsid w:val="00CE30D4"/>
    <w:rsid w:val="00CE32B7"/>
    <w:rsid w:val="00CE36C0"/>
    <w:rsid w:val="00CE40DB"/>
    <w:rsid w:val="00CE441E"/>
    <w:rsid w:val="00CE74AA"/>
    <w:rsid w:val="00CF0832"/>
    <w:rsid w:val="00CF0A37"/>
    <w:rsid w:val="00CF0AC6"/>
    <w:rsid w:val="00CF15B7"/>
    <w:rsid w:val="00CF1810"/>
    <w:rsid w:val="00CF265B"/>
    <w:rsid w:val="00CF38DC"/>
    <w:rsid w:val="00CF404B"/>
    <w:rsid w:val="00CF4999"/>
    <w:rsid w:val="00CF4C66"/>
    <w:rsid w:val="00CF4D27"/>
    <w:rsid w:val="00CF5F63"/>
    <w:rsid w:val="00CF619B"/>
    <w:rsid w:val="00CF65A7"/>
    <w:rsid w:val="00CF6EF5"/>
    <w:rsid w:val="00CF73E2"/>
    <w:rsid w:val="00CF74F1"/>
    <w:rsid w:val="00D004B9"/>
    <w:rsid w:val="00D02641"/>
    <w:rsid w:val="00D02863"/>
    <w:rsid w:val="00D02EF5"/>
    <w:rsid w:val="00D03897"/>
    <w:rsid w:val="00D03E01"/>
    <w:rsid w:val="00D03FF6"/>
    <w:rsid w:val="00D0490B"/>
    <w:rsid w:val="00D04F9C"/>
    <w:rsid w:val="00D05761"/>
    <w:rsid w:val="00D0600C"/>
    <w:rsid w:val="00D06278"/>
    <w:rsid w:val="00D06A30"/>
    <w:rsid w:val="00D06AD0"/>
    <w:rsid w:val="00D07BB2"/>
    <w:rsid w:val="00D07CC5"/>
    <w:rsid w:val="00D10CF7"/>
    <w:rsid w:val="00D11182"/>
    <w:rsid w:val="00D119A7"/>
    <w:rsid w:val="00D11A45"/>
    <w:rsid w:val="00D11AA0"/>
    <w:rsid w:val="00D11C58"/>
    <w:rsid w:val="00D13A68"/>
    <w:rsid w:val="00D13B48"/>
    <w:rsid w:val="00D141FB"/>
    <w:rsid w:val="00D15864"/>
    <w:rsid w:val="00D16219"/>
    <w:rsid w:val="00D1635F"/>
    <w:rsid w:val="00D16482"/>
    <w:rsid w:val="00D16A4E"/>
    <w:rsid w:val="00D16D8B"/>
    <w:rsid w:val="00D1723E"/>
    <w:rsid w:val="00D20668"/>
    <w:rsid w:val="00D21546"/>
    <w:rsid w:val="00D219F8"/>
    <w:rsid w:val="00D226F4"/>
    <w:rsid w:val="00D22CDC"/>
    <w:rsid w:val="00D2326D"/>
    <w:rsid w:val="00D24136"/>
    <w:rsid w:val="00D2465D"/>
    <w:rsid w:val="00D251F4"/>
    <w:rsid w:val="00D2521B"/>
    <w:rsid w:val="00D25E6D"/>
    <w:rsid w:val="00D2643E"/>
    <w:rsid w:val="00D26684"/>
    <w:rsid w:val="00D26B1A"/>
    <w:rsid w:val="00D26B2C"/>
    <w:rsid w:val="00D26C05"/>
    <w:rsid w:val="00D276B5"/>
    <w:rsid w:val="00D300AF"/>
    <w:rsid w:val="00D301BB"/>
    <w:rsid w:val="00D303F0"/>
    <w:rsid w:val="00D30F2E"/>
    <w:rsid w:val="00D320C3"/>
    <w:rsid w:val="00D32766"/>
    <w:rsid w:val="00D32B90"/>
    <w:rsid w:val="00D32C7C"/>
    <w:rsid w:val="00D33113"/>
    <w:rsid w:val="00D339F2"/>
    <w:rsid w:val="00D3440B"/>
    <w:rsid w:val="00D351FF"/>
    <w:rsid w:val="00D36132"/>
    <w:rsid w:val="00D366F3"/>
    <w:rsid w:val="00D371EB"/>
    <w:rsid w:val="00D37247"/>
    <w:rsid w:val="00D37688"/>
    <w:rsid w:val="00D37ACC"/>
    <w:rsid w:val="00D40CE6"/>
    <w:rsid w:val="00D40DF9"/>
    <w:rsid w:val="00D40FD2"/>
    <w:rsid w:val="00D42240"/>
    <w:rsid w:val="00D424F8"/>
    <w:rsid w:val="00D426B7"/>
    <w:rsid w:val="00D43753"/>
    <w:rsid w:val="00D43A8D"/>
    <w:rsid w:val="00D44D3C"/>
    <w:rsid w:val="00D453C3"/>
    <w:rsid w:val="00D46534"/>
    <w:rsid w:val="00D467C2"/>
    <w:rsid w:val="00D46876"/>
    <w:rsid w:val="00D46D1C"/>
    <w:rsid w:val="00D4747A"/>
    <w:rsid w:val="00D4766B"/>
    <w:rsid w:val="00D47837"/>
    <w:rsid w:val="00D4786E"/>
    <w:rsid w:val="00D500D6"/>
    <w:rsid w:val="00D508D0"/>
    <w:rsid w:val="00D520CE"/>
    <w:rsid w:val="00D52582"/>
    <w:rsid w:val="00D5273E"/>
    <w:rsid w:val="00D52AD7"/>
    <w:rsid w:val="00D54214"/>
    <w:rsid w:val="00D54711"/>
    <w:rsid w:val="00D5497E"/>
    <w:rsid w:val="00D54C8B"/>
    <w:rsid w:val="00D565F5"/>
    <w:rsid w:val="00D56C1F"/>
    <w:rsid w:val="00D57026"/>
    <w:rsid w:val="00D601EB"/>
    <w:rsid w:val="00D602ED"/>
    <w:rsid w:val="00D60E79"/>
    <w:rsid w:val="00D62733"/>
    <w:rsid w:val="00D62ADA"/>
    <w:rsid w:val="00D62B53"/>
    <w:rsid w:val="00D62CFB"/>
    <w:rsid w:val="00D63722"/>
    <w:rsid w:val="00D63D9E"/>
    <w:rsid w:val="00D64307"/>
    <w:rsid w:val="00D65B03"/>
    <w:rsid w:val="00D65EA5"/>
    <w:rsid w:val="00D66480"/>
    <w:rsid w:val="00D66AA2"/>
    <w:rsid w:val="00D66BE8"/>
    <w:rsid w:val="00D67A9A"/>
    <w:rsid w:val="00D70234"/>
    <w:rsid w:val="00D70237"/>
    <w:rsid w:val="00D70346"/>
    <w:rsid w:val="00D70562"/>
    <w:rsid w:val="00D70C30"/>
    <w:rsid w:val="00D70F27"/>
    <w:rsid w:val="00D70F5C"/>
    <w:rsid w:val="00D7101C"/>
    <w:rsid w:val="00D71DB3"/>
    <w:rsid w:val="00D72187"/>
    <w:rsid w:val="00D721E0"/>
    <w:rsid w:val="00D72225"/>
    <w:rsid w:val="00D722D0"/>
    <w:rsid w:val="00D724D3"/>
    <w:rsid w:val="00D73CA8"/>
    <w:rsid w:val="00D73DDF"/>
    <w:rsid w:val="00D74928"/>
    <w:rsid w:val="00D74BB9"/>
    <w:rsid w:val="00D75438"/>
    <w:rsid w:val="00D754FB"/>
    <w:rsid w:val="00D75CB3"/>
    <w:rsid w:val="00D75CE0"/>
    <w:rsid w:val="00D764D6"/>
    <w:rsid w:val="00D77016"/>
    <w:rsid w:val="00D817DF"/>
    <w:rsid w:val="00D81CB8"/>
    <w:rsid w:val="00D82A6A"/>
    <w:rsid w:val="00D82D5B"/>
    <w:rsid w:val="00D834C6"/>
    <w:rsid w:val="00D837CA"/>
    <w:rsid w:val="00D83FDF"/>
    <w:rsid w:val="00D84301"/>
    <w:rsid w:val="00D869E1"/>
    <w:rsid w:val="00D869F2"/>
    <w:rsid w:val="00D872A5"/>
    <w:rsid w:val="00D90BB2"/>
    <w:rsid w:val="00D9144D"/>
    <w:rsid w:val="00D914D0"/>
    <w:rsid w:val="00D919F8"/>
    <w:rsid w:val="00D92120"/>
    <w:rsid w:val="00D92423"/>
    <w:rsid w:val="00D9294E"/>
    <w:rsid w:val="00D93725"/>
    <w:rsid w:val="00D937E8"/>
    <w:rsid w:val="00D93C0B"/>
    <w:rsid w:val="00D95380"/>
    <w:rsid w:val="00D95A29"/>
    <w:rsid w:val="00D95BA5"/>
    <w:rsid w:val="00D9621E"/>
    <w:rsid w:val="00D9652D"/>
    <w:rsid w:val="00D96D63"/>
    <w:rsid w:val="00D97028"/>
    <w:rsid w:val="00D974C7"/>
    <w:rsid w:val="00D9756B"/>
    <w:rsid w:val="00D97B96"/>
    <w:rsid w:val="00DA0AC9"/>
    <w:rsid w:val="00DA0F1B"/>
    <w:rsid w:val="00DA198D"/>
    <w:rsid w:val="00DA1D49"/>
    <w:rsid w:val="00DA2A67"/>
    <w:rsid w:val="00DA2BD7"/>
    <w:rsid w:val="00DA323D"/>
    <w:rsid w:val="00DA35B6"/>
    <w:rsid w:val="00DA4086"/>
    <w:rsid w:val="00DA41C3"/>
    <w:rsid w:val="00DA4279"/>
    <w:rsid w:val="00DA4822"/>
    <w:rsid w:val="00DA4C16"/>
    <w:rsid w:val="00DA4C1C"/>
    <w:rsid w:val="00DA5057"/>
    <w:rsid w:val="00DA565A"/>
    <w:rsid w:val="00DA6187"/>
    <w:rsid w:val="00DA63A7"/>
    <w:rsid w:val="00DA63AB"/>
    <w:rsid w:val="00DA646B"/>
    <w:rsid w:val="00DA69F4"/>
    <w:rsid w:val="00DA6D1C"/>
    <w:rsid w:val="00DA6F53"/>
    <w:rsid w:val="00DA720A"/>
    <w:rsid w:val="00DA77E2"/>
    <w:rsid w:val="00DB0242"/>
    <w:rsid w:val="00DB0B74"/>
    <w:rsid w:val="00DB0BF1"/>
    <w:rsid w:val="00DB0F11"/>
    <w:rsid w:val="00DB1227"/>
    <w:rsid w:val="00DB1449"/>
    <w:rsid w:val="00DB14FB"/>
    <w:rsid w:val="00DB254C"/>
    <w:rsid w:val="00DB3231"/>
    <w:rsid w:val="00DB32BE"/>
    <w:rsid w:val="00DB37C0"/>
    <w:rsid w:val="00DB4089"/>
    <w:rsid w:val="00DB434C"/>
    <w:rsid w:val="00DB4E6A"/>
    <w:rsid w:val="00DB559F"/>
    <w:rsid w:val="00DB6D43"/>
    <w:rsid w:val="00DB6D6B"/>
    <w:rsid w:val="00DC0555"/>
    <w:rsid w:val="00DC096D"/>
    <w:rsid w:val="00DC27D3"/>
    <w:rsid w:val="00DC28A1"/>
    <w:rsid w:val="00DC2957"/>
    <w:rsid w:val="00DC301E"/>
    <w:rsid w:val="00DC3F85"/>
    <w:rsid w:val="00DC4FAC"/>
    <w:rsid w:val="00DC5B5F"/>
    <w:rsid w:val="00DC5C13"/>
    <w:rsid w:val="00DC7850"/>
    <w:rsid w:val="00DC7BBE"/>
    <w:rsid w:val="00DD1A84"/>
    <w:rsid w:val="00DD1DBC"/>
    <w:rsid w:val="00DD3280"/>
    <w:rsid w:val="00DD32CC"/>
    <w:rsid w:val="00DD346B"/>
    <w:rsid w:val="00DD41C4"/>
    <w:rsid w:val="00DD44CE"/>
    <w:rsid w:val="00DD6233"/>
    <w:rsid w:val="00DD6259"/>
    <w:rsid w:val="00DE1103"/>
    <w:rsid w:val="00DE159D"/>
    <w:rsid w:val="00DE1BA3"/>
    <w:rsid w:val="00DE205B"/>
    <w:rsid w:val="00DE21F5"/>
    <w:rsid w:val="00DE2FD1"/>
    <w:rsid w:val="00DE31D4"/>
    <w:rsid w:val="00DE3869"/>
    <w:rsid w:val="00DE3D18"/>
    <w:rsid w:val="00DE3E2C"/>
    <w:rsid w:val="00DE4176"/>
    <w:rsid w:val="00DE4EA2"/>
    <w:rsid w:val="00DE5A3A"/>
    <w:rsid w:val="00DE5A6B"/>
    <w:rsid w:val="00DE5AE8"/>
    <w:rsid w:val="00DE5CEC"/>
    <w:rsid w:val="00DE6456"/>
    <w:rsid w:val="00DE7262"/>
    <w:rsid w:val="00DE7385"/>
    <w:rsid w:val="00DE7CB6"/>
    <w:rsid w:val="00DE7FCE"/>
    <w:rsid w:val="00DF1F75"/>
    <w:rsid w:val="00DF25D1"/>
    <w:rsid w:val="00DF2A36"/>
    <w:rsid w:val="00DF2BB5"/>
    <w:rsid w:val="00DF2F4F"/>
    <w:rsid w:val="00DF3C93"/>
    <w:rsid w:val="00DF428D"/>
    <w:rsid w:val="00DF4871"/>
    <w:rsid w:val="00DF48C8"/>
    <w:rsid w:val="00DF4ADC"/>
    <w:rsid w:val="00DF53B2"/>
    <w:rsid w:val="00DF548A"/>
    <w:rsid w:val="00DF6EA7"/>
    <w:rsid w:val="00DF74B1"/>
    <w:rsid w:val="00DF75FC"/>
    <w:rsid w:val="00E0025D"/>
    <w:rsid w:val="00E00AAB"/>
    <w:rsid w:val="00E0177D"/>
    <w:rsid w:val="00E02335"/>
    <w:rsid w:val="00E02441"/>
    <w:rsid w:val="00E05321"/>
    <w:rsid w:val="00E05EAD"/>
    <w:rsid w:val="00E067A6"/>
    <w:rsid w:val="00E06AB4"/>
    <w:rsid w:val="00E06DBF"/>
    <w:rsid w:val="00E06E76"/>
    <w:rsid w:val="00E070CA"/>
    <w:rsid w:val="00E078B0"/>
    <w:rsid w:val="00E100E3"/>
    <w:rsid w:val="00E10989"/>
    <w:rsid w:val="00E11D9A"/>
    <w:rsid w:val="00E11DE9"/>
    <w:rsid w:val="00E126BD"/>
    <w:rsid w:val="00E1314A"/>
    <w:rsid w:val="00E13B3D"/>
    <w:rsid w:val="00E13BD2"/>
    <w:rsid w:val="00E14496"/>
    <w:rsid w:val="00E144C9"/>
    <w:rsid w:val="00E14A40"/>
    <w:rsid w:val="00E14BE0"/>
    <w:rsid w:val="00E14BF7"/>
    <w:rsid w:val="00E152C4"/>
    <w:rsid w:val="00E15B86"/>
    <w:rsid w:val="00E15F4A"/>
    <w:rsid w:val="00E167F3"/>
    <w:rsid w:val="00E16831"/>
    <w:rsid w:val="00E16B0D"/>
    <w:rsid w:val="00E16D32"/>
    <w:rsid w:val="00E17771"/>
    <w:rsid w:val="00E179F7"/>
    <w:rsid w:val="00E20A1A"/>
    <w:rsid w:val="00E20AE0"/>
    <w:rsid w:val="00E20BC8"/>
    <w:rsid w:val="00E20BDC"/>
    <w:rsid w:val="00E20F13"/>
    <w:rsid w:val="00E214FC"/>
    <w:rsid w:val="00E2186D"/>
    <w:rsid w:val="00E21952"/>
    <w:rsid w:val="00E21956"/>
    <w:rsid w:val="00E22103"/>
    <w:rsid w:val="00E22868"/>
    <w:rsid w:val="00E23542"/>
    <w:rsid w:val="00E237CF"/>
    <w:rsid w:val="00E23BE1"/>
    <w:rsid w:val="00E24144"/>
    <w:rsid w:val="00E241EB"/>
    <w:rsid w:val="00E24451"/>
    <w:rsid w:val="00E244AF"/>
    <w:rsid w:val="00E252ED"/>
    <w:rsid w:val="00E25823"/>
    <w:rsid w:val="00E25979"/>
    <w:rsid w:val="00E25DE8"/>
    <w:rsid w:val="00E25EE8"/>
    <w:rsid w:val="00E264CC"/>
    <w:rsid w:val="00E26A8F"/>
    <w:rsid w:val="00E2740C"/>
    <w:rsid w:val="00E274BA"/>
    <w:rsid w:val="00E27984"/>
    <w:rsid w:val="00E27A8B"/>
    <w:rsid w:val="00E27E9B"/>
    <w:rsid w:val="00E30C43"/>
    <w:rsid w:val="00E30EE4"/>
    <w:rsid w:val="00E31285"/>
    <w:rsid w:val="00E3181F"/>
    <w:rsid w:val="00E31DCE"/>
    <w:rsid w:val="00E3230A"/>
    <w:rsid w:val="00E32AD4"/>
    <w:rsid w:val="00E3323E"/>
    <w:rsid w:val="00E33F53"/>
    <w:rsid w:val="00E34AD2"/>
    <w:rsid w:val="00E35194"/>
    <w:rsid w:val="00E3524A"/>
    <w:rsid w:val="00E357E7"/>
    <w:rsid w:val="00E35FAD"/>
    <w:rsid w:val="00E36E7A"/>
    <w:rsid w:val="00E40CB8"/>
    <w:rsid w:val="00E40CE8"/>
    <w:rsid w:val="00E40E3B"/>
    <w:rsid w:val="00E41055"/>
    <w:rsid w:val="00E412BE"/>
    <w:rsid w:val="00E41323"/>
    <w:rsid w:val="00E41FCA"/>
    <w:rsid w:val="00E422A6"/>
    <w:rsid w:val="00E423D1"/>
    <w:rsid w:val="00E42707"/>
    <w:rsid w:val="00E44034"/>
    <w:rsid w:val="00E44352"/>
    <w:rsid w:val="00E44728"/>
    <w:rsid w:val="00E44B4A"/>
    <w:rsid w:val="00E45720"/>
    <w:rsid w:val="00E469E3"/>
    <w:rsid w:val="00E46BBC"/>
    <w:rsid w:val="00E47BEA"/>
    <w:rsid w:val="00E5099B"/>
    <w:rsid w:val="00E514A6"/>
    <w:rsid w:val="00E514B1"/>
    <w:rsid w:val="00E519A8"/>
    <w:rsid w:val="00E521F9"/>
    <w:rsid w:val="00E52664"/>
    <w:rsid w:val="00E529C7"/>
    <w:rsid w:val="00E53C70"/>
    <w:rsid w:val="00E54283"/>
    <w:rsid w:val="00E543E7"/>
    <w:rsid w:val="00E54AB3"/>
    <w:rsid w:val="00E560B8"/>
    <w:rsid w:val="00E563BA"/>
    <w:rsid w:val="00E60BF6"/>
    <w:rsid w:val="00E60F03"/>
    <w:rsid w:val="00E6161C"/>
    <w:rsid w:val="00E61C9F"/>
    <w:rsid w:val="00E620BB"/>
    <w:rsid w:val="00E6254C"/>
    <w:rsid w:val="00E62AD0"/>
    <w:rsid w:val="00E62DE3"/>
    <w:rsid w:val="00E6342A"/>
    <w:rsid w:val="00E63A33"/>
    <w:rsid w:val="00E63D2F"/>
    <w:rsid w:val="00E63DFA"/>
    <w:rsid w:val="00E646B8"/>
    <w:rsid w:val="00E6526C"/>
    <w:rsid w:val="00E653B6"/>
    <w:rsid w:val="00E65EA6"/>
    <w:rsid w:val="00E677B1"/>
    <w:rsid w:val="00E67E7A"/>
    <w:rsid w:val="00E7038D"/>
    <w:rsid w:val="00E70782"/>
    <w:rsid w:val="00E71868"/>
    <w:rsid w:val="00E71B53"/>
    <w:rsid w:val="00E71CB9"/>
    <w:rsid w:val="00E72E06"/>
    <w:rsid w:val="00E7314F"/>
    <w:rsid w:val="00E7353B"/>
    <w:rsid w:val="00E73E28"/>
    <w:rsid w:val="00E741D3"/>
    <w:rsid w:val="00E745F0"/>
    <w:rsid w:val="00E746E9"/>
    <w:rsid w:val="00E74752"/>
    <w:rsid w:val="00E74DD7"/>
    <w:rsid w:val="00E755D8"/>
    <w:rsid w:val="00E75F5C"/>
    <w:rsid w:val="00E76159"/>
    <w:rsid w:val="00E7672A"/>
    <w:rsid w:val="00E767E8"/>
    <w:rsid w:val="00E76D17"/>
    <w:rsid w:val="00E7723C"/>
    <w:rsid w:val="00E77297"/>
    <w:rsid w:val="00E77682"/>
    <w:rsid w:val="00E80989"/>
    <w:rsid w:val="00E82148"/>
    <w:rsid w:val="00E8338D"/>
    <w:rsid w:val="00E837DF"/>
    <w:rsid w:val="00E83805"/>
    <w:rsid w:val="00E8396E"/>
    <w:rsid w:val="00E84082"/>
    <w:rsid w:val="00E8436D"/>
    <w:rsid w:val="00E84910"/>
    <w:rsid w:val="00E84A94"/>
    <w:rsid w:val="00E854D1"/>
    <w:rsid w:val="00E85775"/>
    <w:rsid w:val="00E86F19"/>
    <w:rsid w:val="00E870BE"/>
    <w:rsid w:val="00E870E3"/>
    <w:rsid w:val="00E87BB0"/>
    <w:rsid w:val="00E87C67"/>
    <w:rsid w:val="00E87D99"/>
    <w:rsid w:val="00E9052E"/>
    <w:rsid w:val="00E906DD"/>
    <w:rsid w:val="00E91EEF"/>
    <w:rsid w:val="00E930CE"/>
    <w:rsid w:val="00E93B3E"/>
    <w:rsid w:val="00E93C54"/>
    <w:rsid w:val="00E940BB"/>
    <w:rsid w:val="00E95628"/>
    <w:rsid w:val="00E9590D"/>
    <w:rsid w:val="00E95A09"/>
    <w:rsid w:val="00E961B2"/>
    <w:rsid w:val="00E96D54"/>
    <w:rsid w:val="00EA0276"/>
    <w:rsid w:val="00EA0429"/>
    <w:rsid w:val="00EA0EDA"/>
    <w:rsid w:val="00EA1446"/>
    <w:rsid w:val="00EA18FB"/>
    <w:rsid w:val="00EA196C"/>
    <w:rsid w:val="00EA1B76"/>
    <w:rsid w:val="00EA1EFD"/>
    <w:rsid w:val="00EA2910"/>
    <w:rsid w:val="00EA2CA4"/>
    <w:rsid w:val="00EA2F2C"/>
    <w:rsid w:val="00EA30F6"/>
    <w:rsid w:val="00EA4D37"/>
    <w:rsid w:val="00EA56C3"/>
    <w:rsid w:val="00EA590F"/>
    <w:rsid w:val="00EA5C49"/>
    <w:rsid w:val="00EA6007"/>
    <w:rsid w:val="00EA697D"/>
    <w:rsid w:val="00EA6D6C"/>
    <w:rsid w:val="00EA73E2"/>
    <w:rsid w:val="00EA7A0A"/>
    <w:rsid w:val="00EA7D57"/>
    <w:rsid w:val="00EB00E3"/>
    <w:rsid w:val="00EB011F"/>
    <w:rsid w:val="00EB1670"/>
    <w:rsid w:val="00EB1908"/>
    <w:rsid w:val="00EB1B0B"/>
    <w:rsid w:val="00EB23EE"/>
    <w:rsid w:val="00EB29BB"/>
    <w:rsid w:val="00EB3378"/>
    <w:rsid w:val="00EB3E00"/>
    <w:rsid w:val="00EB43BB"/>
    <w:rsid w:val="00EB4785"/>
    <w:rsid w:val="00EB4B37"/>
    <w:rsid w:val="00EB4B67"/>
    <w:rsid w:val="00EB4E4C"/>
    <w:rsid w:val="00EB4F41"/>
    <w:rsid w:val="00EB4F9C"/>
    <w:rsid w:val="00EB54E3"/>
    <w:rsid w:val="00EB5595"/>
    <w:rsid w:val="00EB5BEE"/>
    <w:rsid w:val="00EB62CD"/>
    <w:rsid w:val="00EB6BB8"/>
    <w:rsid w:val="00EB7E0F"/>
    <w:rsid w:val="00EB7F86"/>
    <w:rsid w:val="00EC0A47"/>
    <w:rsid w:val="00EC119D"/>
    <w:rsid w:val="00EC1508"/>
    <w:rsid w:val="00EC1A66"/>
    <w:rsid w:val="00EC2DC6"/>
    <w:rsid w:val="00EC326D"/>
    <w:rsid w:val="00EC3D9A"/>
    <w:rsid w:val="00EC46E7"/>
    <w:rsid w:val="00EC4776"/>
    <w:rsid w:val="00EC4898"/>
    <w:rsid w:val="00EC48DC"/>
    <w:rsid w:val="00EC4973"/>
    <w:rsid w:val="00EC4CEA"/>
    <w:rsid w:val="00EC50DB"/>
    <w:rsid w:val="00EC7ED6"/>
    <w:rsid w:val="00EC7F7B"/>
    <w:rsid w:val="00ED0065"/>
    <w:rsid w:val="00ED01AE"/>
    <w:rsid w:val="00ED09AD"/>
    <w:rsid w:val="00ED0D7C"/>
    <w:rsid w:val="00ED0E2E"/>
    <w:rsid w:val="00ED21A3"/>
    <w:rsid w:val="00ED265E"/>
    <w:rsid w:val="00ED3179"/>
    <w:rsid w:val="00ED3D70"/>
    <w:rsid w:val="00ED3D95"/>
    <w:rsid w:val="00ED3EAC"/>
    <w:rsid w:val="00ED406E"/>
    <w:rsid w:val="00ED4ABE"/>
    <w:rsid w:val="00ED4D3B"/>
    <w:rsid w:val="00ED56B0"/>
    <w:rsid w:val="00ED5AC5"/>
    <w:rsid w:val="00ED60B2"/>
    <w:rsid w:val="00ED61A3"/>
    <w:rsid w:val="00ED7029"/>
    <w:rsid w:val="00ED720F"/>
    <w:rsid w:val="00ED7DEA"/>
    <w:rsid w:val="00EE0924"/>
    <w:rsid w:val="00EE11DB"/>
    <w:rsid w:val="00EE305F"/>
    <w:rsid w:val="00EE32E6"/>
    <w:rsid w:val="00EE4158"/>
    <w:rsid w:val="00EE46F9"/>
    <w:rsid w:val="00EE4B67"/>
    <w:rsid w:val="00EE555A"/>
    <w:rsid w:val="00EE55DC"/>
    <w:rsid w:val="00EE5A0E"/>
    <w:rsid w:val="00EE5F55"/>
    <w:rsid w:val="00EE647F"/>
    <w:rsid w:val="00EE64F6"/>
    <w:rsid w:val="00EE6716"/>
    <w:rsid w:val="00EE6DA4"/>
    <w:rsid w:val="00EE7507"/>
    <w:rsid w:val="00EE7C2A"/>
    <w:rsid w:val="00EE7E46"/>
    <w:rsid w:val="00EF05E5"/>
    <w:rsid w:val="00EF0A93"/>
    <w:rsid w:val="00EF0C53"/>
    <w:rsid w:val="00EF0D5A"/>
    <w:rsid w:val="00EF0E0D"/>
    <w:rsid w:val="00EF131F"/>
    <w:rsid w:val="00EF1F0B"/>
    <w:rsid w:val="00EF3281"/>
    <w:rsid w:val="00EF3931"/>
    <w:rsid w:val="00EF54F2"/>
    <w:rsid w:val="00EF5D20"/>
    <w:rsid w:val="00EF5F05"/>
    <w:rsid w:val="00EF6088"/>
    <w:rsid w:val="00EF618D"/>
    <w:rsid w:val="00EF61F0"/>
    <w:rsid w:val="00EF6783"/>
    <w:rsid w:val="00F0007E"/>
    <w:rsid w:val="00F00345"/>
    <w:rsid w:val="00F008AF"/>
    <w:rsid w:val="00F00AF6"/>
    <w:rsid w:val="00F00C58"/>
    <w:rsid w:val="00F00C6C"/>
    <w:rsid w:val="00F018F9"/>
    <w:rsid w:val="00F02565"/>
    <w:rsid w:val="00F03883"/>
    <w:rsid w:val="00F038DD"/>
    <w:rsid w:val="00F03C4D"/>
    <w:rsid w:val="00F04760"/>
    <w:rsid w:val="00F04A3B"/>
    <w:rsid w:val="00F04EBB"/>
    <w:rsid w:val="00F058A7"/>
    <w:rsid w:val="00F05941"/>
    <w:rsid w:val="00F05AFD"/>
    <w:rsid w:val="00F06481"/>
    <w:rsid w:val="00F06CC3"/>
    <w:rsid w:val="00F06CED"/>
    <w:rsid w:val="00F06D7C"/>
    <w:rsid w:val="00F072D6"/>
    <w:rsid w:val="00F07AF3"/>
    <w:rsid w:val="00F104DB"/>
    <w:rsid w:val="00F10B0E"/>
    <w:rsid w:val="00F120B5"/>
    <w:rsid w:val="00F123E8"/>
    <w:rsid w:val="00F1252C"/>
    <w:rsid w:val="00F13DF1"/>
    <w:rsid w:val="00F14386"/>
    <w:rsid w:val="00F14678"/>
    <w:rsid w:val="00F15077"/>
    <w:rsid w:val="00F15E9A"/>
    <w:rsid w:val="00F15FA6"/>
    <w:rsid w:val="00F16108"/>
    <w:rsid w:val="00F1635B"/>
    <w:rsid w:val="00F165FA"/>
    <w:rsid w:val="00F16AFA"/>
    <w:rsid w:val="00F16DE7"/>
    <w:rsid w:val="00F1716E"/>
    <w:rsid w:val="00F17575"/>
    <w:rsid w:val="00F201E7"/>
    <w:rsid w:val="00F201EA"/>
    <w:rsid w:val="00F206A0"/>
    <w:rsid w:val="00F2139F"/>
    <w:rsid w:val="00F2173E"/>
    <w:rsid w:val="00F21B30"/>
    <w:rsid w:val="00F22294"/>
    <w:rsid w:val="00F22AB2"/>
    <w:rsid w:val="00F22C73"/>
    <w:rsid w:val="00F2544C"/>
    <w:rsid w:val="00F258AE"/>
    <w:rsid w:val="00F260D2"/>
    <w:rsid w:val="00F26789"/>
    <w:rsid w:val="00F267B4"/>
    <w:rsid w:val="00F270D1"/>
    <w:rsid w:val="00F2791E"/>
    <w:rsid w:val="00F27D0A"/>
    <w:rsid w:val="00F3087F"/>
    <w:rsid w:val="00F308C4"/>
    <w:rsid w:val="00F32DA3"/>
    <w:rsid w:val="00F32E4B"/>
    <w:rsid w:val="00F33203"/>
    <w:rsid w:val="00F33692"/>
    <w:rsid w:val="00F33877"/>
    <w:rsid w:val="00F33A44"/>
    <w:rsid w:val="00F33FCA"/>
    <w:rsid w:val="00F34386"/>
    <w:rsid w:val="00F34C20"/>
    <w:rsid w:val="00F34EEF"/>
    <w:rsid w:val="00F34F5B"/>
    <w:rsid w:val="00F356B6"/>
    <w:rsid w:val="00F35B45"/>
    <w:rsid w:val="00F35EB0"/>
    <w:rsid w:val="00F36117"/>
    <w:rsid w:val="00F36457"/>
    <w:rsid w:val="00F3723F"/>
    <w:rsid w:val="00F37BB7"/>
    <w:rsid w:val="00F37BEC"/>
    <w:rsid w:val="00F40269"/>
    <w:rsid w:val="00F404FD"/>
    <w:rsid w:val="00F4081A"/>
    <w:rsid w:val="00F40EFD"/>
    <w:rsid w:val="00F41190"/>
    <w:rsid w:val="00F41492"/>
    <w:rsid w:val="00F41EA8"/>
    <w:rsid w:val="00F42B29"/>
    <w:rsid w:val="00F42D4A"/>
    <w:rsid w:val="00F43719"/>
    <w:rsid w:val="00F43AFE"/>
    <w:rsid w:val="00F43F89"/>
    <w:rsid w:val="00F44037"/>
    <w:rsid w:val="00F44058"/>
    <w:rsid w:val="00F44345"/>
    <w:rsid w:val="00F445E9"/>
    <w:rsid w:val="00F44B57"/>
    <w:rsid w:val="00F455B3"/>
    <w:rsid w:val="00F45BC1"/>
    <w:rsid w:val="00F460C6"/>
    <w:rsid w:val="00F462C8"/>
    <w:rsid w:val="00F46584"/>
    <w:rsid w:val="00F47681"/>
    <w:rsid w:val="00F47BAA"/>
    <w:rsid w:val="00F504B3"/>
    <w:rsid w:val="00F505D7"/>
    <w:rsid w:val="00F50C1F"/>
    <w:rsid w:val="00F51228"/>
    <w:rsid w:val="00F51A5C"/>
    <w:rsid w:val="00F51A8A"/>
    <w:rsid w:val="00F51ED7"/>
    <w:rsid w:val="00F52115"/>
    <w:rsid w:val="00F52F73"/>
    <w:rsid w:val="00F53199"/>
    <w:rsid w:val="00F53434"/>
    <w:rsid w:val="00F5353C"/>
    <w:rsid w:val="00F53884"/>
    <w:rsid w:val="00F54C67"/>
    <w:rsid w:val="00F5588E"/>
    <w:rsid w:val="00F56B32"/>
    <w:rsid w:val="00F579C7"/>
    <w:rsid w:val="00F57CF7"/>
    <w:rsid w:val="00F605FE"/>
    <w:rsid w:val="00F60E51"/>
    <w:rsid w:val="00F61231"/>
    <w:rsid w:val="00F612DC"/>
    <w:rsid w:val="00F61F9C"/>
    <w:rsid w:val="00F62A7F"/>
    <w:rsid w:val="00F63519"/>
    <w:rsid w:val="00F63597"/>
    <w:rsid w:val="00F63700"/>
    <w:rsid w:val="00F637A3"/>
    <w:rsid w:val="00F63D0D"/>
    <w:rsid w:val="00F63D49"/>
    <w:rsid w:val="00F64471"/>
    <w:rsid w:val="00F64C24"/>
    <w:rsid w:val="00F64FDE"/>
    <w:rsid w:val="00F657F4"/>
    <w:rsid w:val="00F6652F"/>
    <w:rsid w:val="00F66685"/>
    <w:rsid w:val="00F672DA"/>
    <w:rsid w:val="00F6737D"/>
    <w:rsid w:val="00F679F4"/>
    <w:rsid w:val="00F67C0D"/>
    <w:rsid w:val="00F67EC9"/>
    <w:rsid w:val="00F70B1A"/>
    <w:rsid w:val="00F70F77"/>
    <w:rsid w:val="00F71FE9"/>
    <w:rsid w:val="00F72524"/>
    <w:rsid w:val="00F72929"/>
    <w:rsid w:val="00F72F80"/>
    <w:rsid w:val="00F73072"/>
    <w:rsid w:val="00F73074"/>
    <w:rsid w:val="00F7320A"/>
    <w:rsid w:val="00F73329"/>
    <w:rsid w:val="00F73677"/>
    <w:rsid w:val="00F73BB7"/>
    <w:rsid w:val="00F7472B"/>
    <w:rsid w:val="00F74AF0"/>
    <w:rsid w:val="00F74E4F"/>
    <w:rsid w:val="00F751D7"/>
    <w:rsid w:val="00F7570E"/>
    <w:rsid w:val="00F75771"/>
    <w:rsid w:val="00F7627F"/>
    <w:rsid w:val="00F77340"/>
    <w:rsid w:val="00F77438"/>
    <w:rsid w:val="00F80F23"/>
    <w:rsid w:val="00F80F83"/>
    <w:rsid w:val="00F81AB4"/>
    <w:rsid w:val="00F81ABB"/>
    <w:rsid w:val="00F8233A"/>
    <w:rsid w:val="00F8272F"/>
    <w:rsid w:val="00F83049"/>
    <w:rsid w:val="00F83748"/>
    <w:rsid w:val="00F84EFA"/>
    <w:rsid w:val="00F85DE3"/>
    <w:rsid w:val="00F86086"/>
    <w:rsid w:val="00F86222"/>
    <w:rsid w:val="00F87096"/>
    <w:rsid w:val="00F87351"/>
    <w:rsid w:val="00F873D8"/>
    <w:rsid w:val="00F876C1"/>
    <w:rsid w:val="00F87819"/>
    <w:rsid w:val="00F87CC3"/>
    <w:rsid w:val="00F909AB"/>
    <w:rsid w:val="00F90DBD"/>
    <w:rsid w:val="00F90F80"/>
    <w:rsid w:val="00F91ACD"/>
    <w:rsid w:val="00F91CF3"/>
    <w:rsid w:val="00F92904"/>
    <w:rsid w:val="00F92A7C"/>
    <w:rsid w:val="00F92ECC"/>
    <w:rsid w:val="00F92EEF"/>
    <w:rsid w:val="00F938C6"/>
    <w:rsid w:val="00F938D2"/>
    <w:rsid w:val="00F9466F"/>
    <w:rsid w:val="00F94BA4"/>
    <w:rsid w:val="00F953D6"/>
    <w:rsid w:val="00F95C36"/>
    <w:rsid w:val="00F95E63"/>
    <w:rsid w:val="00F96890"/>
    <w:rsid w:val="00F9696A"/>
    <w:rsid w:val="00F96F79"/>
    <w:rsid w:val="00F97B3E"/>
    <w:rsid w:val="00F97C8D"/>
    <w:rsid w:val="00F97D1E"/>
    <w:rsid w:val="00FA0C49"/>
    <w:rsid w:val="00FA1065"/>
    <w:rsid w:val="00FA108F"/>
    <w:rsid w:val="00FA132F"/>
    <w:rsid w:val="00FA281B"/>
    <w:rsid w:val="00FA3265"/>
    <w:rsid w:val="00FA3425"/>
    <w:rsid w:val="00FA3A74"/>
    <w:rsid w:val="00FA4148"/>
    <w:rsid w:val="00FA4B70"/>
    <w:rsid w:val="00FA4DEC"/>
    <w:rsid w:val="00FA56F1"/>
    <w:rsid w:val="00FA5D33"/>
    <w:rsid w:val="00FA719A"/>
    <w:rsid w:val="00FB0479"/>
    <w:rsid w:val="00FB0B2E"/>
    <w:rsid w:val="00FB0E5B"/>
    <w:rsid w:val="00FB1478"/>
    <w:rsid w:val="00FB165C"/>
    <w:rsid w:val="00FB42CC"/>
    <w:rsid w:val="00FB50BA"/>
    <w:rsid w:val="00FB523C"/>
    <w:rsid w:val="00FB5722"/>
    <w:rsid w:val="00FB58F9"/>
    <w:rsid w:val="00FB5F47"/>
    <w:rsid w:val="00FB63D6"/>
    <w:rsid w:val="00FB6508"/>
    <w:rsid w:val="00FB6DDC"/>
    <w:rsid w:val="00FB75D6"/>
    <w:rsid w:val="00FC0010"/>
    <w:rsid w:val="00FC22BD"/>
    <w:rsid w:val="00FC2BCE"/>
    <w:rsid w:val="00FC356E"/>
    <w:rsid w:val="00FC379B"/>
    <w:rsid w:val="00FC3D54"/>
    <w:rsid w:val="00FC3F50"/>
    <w:rsid w:val="00FC4B33"/>
    <w:rsid w:val="00FC5655"/>
    <w:rsid w:val="00FC56E1"/>
    <w:rsid w:val="00FC5761"/>
    <w:rsid w:val="00FC5CA2"/>
    <w:rsid w:val="00FC65B4"/>
    <w:rsid w:val="00FC666B"/>
    <w:rsid w:val="00FC6997"/>
    <w:rsid w:val="00FC6BCD"/>
    <w:rsid w:val="00FC6F98"/>
    <w:rsid w:val="00FC705F"/>
    <w:rsid w:val="00FC73AD"/>
    <w:rsid w:val="00FC7A21"/>
    <w:rsid w:val="00FD01D0"/>
    <w:rsid w:val="00FD05AE"/>
    <w:rsid w:val="00FD098D"/>
    <w:rsid w:val="00FD0BB2"/>
    <w:rsid w:val="00FD14F5"/>
    <w:rsid w:val="00FD1C62"/>
    <w:rsid w:val="00FD1CDC"/>
    <w:rsid w:val="00FD1E26"/>
    <w:rsid w:val="00FD3312"/>
    <w:rsid w:val="00FD3DD4"/>
    <w:rsid w:val="00FD41BE"/>
    <w:rsid w:val="00FD49BF"/>
    <w:rsid w:val="00FD4A54"/>
    <w:rsid w:val="00FD4BD8"/>
    <w:rsid w:val="00FD5ACA"/>
    <w:rsid w:val="00FD5B62"/>
    <w:rsid w:val="00FD6C3B"/>
    <w:rsid w:val="00FD71C5"/>
    <w:rsid w:val="00FD7282"/>
    <w:rsid w:val="00FD74AF"/>
    <w:rsid w:val="00FD77B4"/>
    <w:rsid w:val="00FD7A83"/>
    <w:rsid w:val="00FD7DF3"/>
    <w:rsid w:val="00FE00D5"/>
    <w:rsid w:val="00FE1142"/>
    <w:rsid w:val="00FE14C5"/>
    <w:rsid w:val="00FE1836"/>
    <w:rsid w:val="00FE1845"/>
    <w:rsid w:val="00FE18CA"/>
    <w:rsid w:val="00FE2287"/>
    <w:rsid w:val="00FE2475"/>
    <w:rsid w:val="00FE2786"/>
    <w:rsid w:val="00FE2907"/>
    <w:rsid w:val="00FE2FBF"/>
    <w:rsid w:val="00FE33D5"/>
    <w:rsid w:val="00FE3AD0"/>
    <w:rsid w:val="00FE42E7"/>
    <w:rsid w:val="00FE43BB"/>
    <w:rsid w:val="00FE5120"/>
    <w:rsid w:val="00FE5FC7"/>
    <w:rsid w:val="00FE6535"/>
    <w:rsid w:val="00FE65BE"/>
    <w:rsid w:val="00FE77BF"/>
    <w:rsid w:val="00FF017B"/>
    <w:rsid w:val="00FF021A"/>
    <w:rsid w:val="00FF0297"/>
    <w:rsid w:val="00FF0483"/>
    <w:rsid w:val="00FF08F1"/>
    <w:rsid w:val="00FF189C"/>
    <w:rsid w:val="00FF1E06"/>
    <w:rsid w:val="00FF331C"/>
    <w:rsid w:val="00FF415A"/>
    <w:rsid w:val="00FF467C"/>
    <w:rsid w:val="00FF49DF"/>
    <w:rsid w:val="00FF4FDB"/>
    <w:rsid w:val="00FF5205"/>
    <w:rsid w:val="00FF52C6"/>
    <w:rsid w:val="00FF5AA2"/>
    <w:rsid w:val="00FF5DCF"/>
    <w:rsid w:val="00FF684A"/>
    <w:rsid w:val="00FF6923"/>
    <w:rsid w:val="00FF6D38"/>
    <w:rsid w:val="00FF7847"/>
    <w:rsid w:val="00FF79FB"/>
    <w:rsid w:val="00FF7CD5"/>
    <w:rsid w:val="01082FC8"/>
    <w:rsid w:val="0117570B"/>
    <w:rsid w:val="012C531D"/>
    <w:rsid w:val="0163740E"/>
    <w:rsid w:val="016A7E22"/>
    <w:rsid w:val="0172163C"/>
    <w:rsid w:val="017A3379"/>
    <w:rsid w:val="01911546"/>
    <w:rsid w:val="01C267D2"/>
    <w:rsid w:val="01E24AFF"/>
    <w:rsid w:val="01EF0B14"/>
    <w:rsid w:val="01FE0B15"/>
    <w:rsid w:val="0207488B"/>
    <w:rsid w:val="02286762"/>
    <w:rsid w:val="0241351E"/>
    <w:rsid w:val="02437756"/>
    <w:rsid w:val="024521FA"/>
    <w:rsid w:val="02526D9D"/>
    <w:rsid w:val="02786F8C"/>
    <w:rsid w:val="027B5F7D"/>
    <w:rsid w:val="027F654A"/>
    <w:rsid w:val="02A76592"/>
    <w:rsid w:val="02B1087C"/>
    <w:rsid w:val="02B54249"/>
    <w:rsid w:val="02E301C4"/>
    <w:rsid w:val="02F16535"/>
    <w:rsid w:val="02FA5F5D"/>
    <w:rsid w:val="030F6088"/>
    <w:rsid w:val="032066F7"/>
    <w:rsid w:val="033F7998"/>
    <w:rsid w:val="03615BB0"/>
    <w:rsid w:val="0366599D"/>
    <w:rsid w:val="037B218A"/>
    <w:rsid w:val="03A31CC6"/>
    <w:rsid w:val="03AF0FEF"/>
    <w:rsid w:val="03C514BF"/>
    <w:rsid w:val="040D5C27"/>
    <w:rsid w:val="0413017E"/>
    <w:rsid w:val="04252E8B"/>
    <w:rsid w:val="042A621B"/>
    <w:rsid w:val="04493BBB"/>
    <w:rsid w:val="044D77C7"/>
    <w:rsid w:val="049E3CC1"/>
    <w:rsid w:val="049F5FE6"/>
    <w:rsid w:val="04A82024"/>
    <w:rsid w:val="04B04F51"/>
    <w:rsid w:val="04B57884"/>
    <w:rsid w:val="04BC45E8"/>
    <w:rsid w:val="04BF0859"/>
    <w:rsid w:val="04E61E08"/>
    <w:rsid w:val="04F42E4C"/>
    <w:rsid w:val="04F62FC3"/>
    <w:rsid w:val="04FD0BDA"/>
    <w:rsid w:val="05015EF8"/>
    <w:rsid w:val="0521159A"/>
    <w:rsid w:val="053679E1"/>
    <w:rsid w:val="053A25FC"/>
    <w:rsid w:val="053B3FBE"/>
    <w:rsid w:val="054D4B53"/>
    <w:rsid w:val="05A24E7D"/>
    <w:rsid w:val="05B73214"/>
    <w:rsid w:val="05BD0368"/>
    <w:rsid w:val="05C0167D"/>
    <w:rsid w:val="05C06061"/>
    <w:rsid w:val="05F01A2B"/>
    <w:rsid w:val="061515B4"/>
    <w:rsid w:val="06184619"/>
    <w:rsid w:val="061C1E89"/>
    <w:rsid w:val="061D26B4"/>
    <w:rsid w:val="06205679"/>
    <w:rsid w:val="06367EF5"/>
    <w:rsid w:val="06622191"/>
    <w:rsid w:val="067101AC"/>
    <w:rsid w:val="067864BA"/>
    <w:rsid w:val="068A0F1D"/>
    <w:rsid w:val="06B72FAA"/>
    <w:rsid w:val="06C1067F"/>
    <w:rsid w:val="06C1618D"/>
    <w:rsid w:val="06C502CA"/>
    <w:rsid w:val="06C541D1"/>
    <w:rsid w:val="06CF19BA"/>
    <w:rsid w:val="06DD2366"/>
    <w:rsid w:val="06EE5208"/>
    <w:rsid w:val="06F3035E"/>
    <w:rsid w:val="07064C7A"/>
    <w:rsid w:val="071748D8"/>
    <w:rsid w:val="071D4DC2"/>
    <w:rsid w:val="07255168"/>
    <w:rsid w:val="07360F94"/>
    <w:rsid w:val="07420AB3"/>
    <w:rsid w:val="074417F5"/>
    <w:rsid w:val="075501F1"/>
    <w:rsid w:val="07590629"/>
    <w:rsid w:val="07825414"/>
    <w:rsid w:val="07991B95"/>
    <w:rsid w:val="07B04A6F"/>
    <w:rsid w:val="07BE4E42"/>
    <w:rsid w:val="080B4A7A"/>
    <w:rsid w:val="080E3065"/>
    <w:rsid w:val="081667FE"/>
    <w:rsid w:val="081D693D"/>
    <w:rsid w:val="082505AE"/>
    <w:rsid w:val="082A55D1"/>
    <w:rsid w:val="083D13AB"/>
    <w:rsid w:val="08510083"/>
    <w:rsid w:val="08544367"/>
    <w:rsid w:val="08563C3A"/>
    <w:rsid w:val="085F46FE"/>
    <w:rsid w:val="08A946D1"/>
    <w:rsid w:val="08AF1DEF"/>
    <w:rsid w:val="08DF263B"/>
    <w:rsid w:val="08E302BF"/>
    <w:rsid w:val="08EA6481"/>
    <w:rsid w:val="08FF7D4E"/>
    <w:rsid w:val="092D2AC7"/>
    <w:rsid w:val="09367CA8"/>
    <w:rsid w:val="09412C25"/>
    <w:rsid w:val="09654383"/>
    <w:rsid w:val="096E162E"/>
    <w:rsid w:val="09894459"/>
    <w:rsid w:val="098C55B3"/>
    <w:rsid w:val="0996691F"/>
    <w:rsid w:val="09976A18"/>
    <w:rsid w:val="09A56028"/>
    <w:rsid w:val="09D319CB"/>
    <w:rsid w:val="09DB60E6"/>
    <w:rsid w:val="09E31292"/>
    <w:rsid w:val="09E72CDA"/>
    <w:rsid w:val="09F95FF7"/>
    <w:rsid w:val="0A0E6953"/>
    <w:rsid w:val="0A113D35"/>
    <w:rsid w:val="0A1240A3"/>
    <w:rsid w:val="0A1A0A96"/>
    <w:rsid w:val="0A273BC6"/>
    <w:rsid w:val="0A3035F8"/>
    <w:rsid w:val="0A330A2A"/>
    <w:rsid w:val="0A415FEA"/>
    <w:rsid w:val="0A44411F"/>
    <w:rsid w:val="0A4A39A6"/>
    <w:rsid w:val="0A4C54E8"/>
    <w:rsid w:val="0A5967E0"/>
    <w:rsid w:val="0A5D3067"/>
    <w:rsid w:val="0A653545"/>
    <w:rsid w:val="0A8C6E62"/>
    <w:rsid w:val="0AB161A4"/>
    <w:rsid w:val="0AB27705"/>
    <w:rsid w:val="0AB87DC7"/>
    <w:rsid w:val="0ABB3258"/>
    <w:rsid w:val="0ABC6DE9"/>
    <w:rsid w:val="0B0F5DFF"/>
    <w:rsid w:val="0B286B5B"/>
    <w:rsid w:val="0B4E0493"/>
    <w:rsid w:val="0B5E2685"/>
    <w:rsid w:val="0BB104AC"/>
    <w:rsid w:val="0BBE1D8D"/>
    <w:rsid w:val="0BCE43C5"/>
    <w:rsid w:val="0BD8737C"/>
    <w:rsid w:val="0BE971FD"/>
    <w:rsid w:val="0C0B3138"/>
    <w:rsid w:val="0C176E24"/>
    <w:rsid w:val="0C2524B1"/>
    <w:rsid w:val="0C285082"/>
    <w:rsid w:val="0C292C80"/>
    <w:rsid w:val="0C2F1152"/>
    <w:rsid w:val="0C37701D"/>
    <w:rsid w:val="0C531B97"/>
    <w:rsid w:val="0C797E48"/>
    <w:rsid w:val="0C7E6B25"/>
    <w:rsid w:val="0CB8471F"/>
    <w:rsid w:val="0CF159B4"/>
    <w:rsid w:val="0D107173"/>
    <w:rsid w:val="0D1F5346"/>
    <w:rsid w:val="0D210A25"/>
    <w:rsid w:val="0D241CED"/>
    <w:rsid w:val="0D425D41"/>
    <w:rsid w:val="0D7F7E41"/>
    <w:rsid w:val="0D961EBC"/>
    <w:rsid w:val="0D9D6AD6"/>
    <w:rsid w:val="0DBB4073"/>
    <w:rsid w:val="0DF47542"/>
    <w:rsid w:val="0DF66BF3"/>
    <w:rsid w:val="0DFA2D83"/>
    <w:rsid w:val="0E384B5C"/>
    <w:rsid w:val="0E504995"/>
    <w:rsid w:val="0E6E5235"/>
    <w:rsid w:val="0E957099"/>
    <w:rsid w:val="0E9B41FE"/>
    <w:rsid w:val="0EAF1447"/>
    <w:rsid w:val="0EF64E17"/>
    <w:rsid w:val="0F19045C"/>
    <w:rsid w:val="0F33135B"/>
    <w:rsid w:val="0F5D6F2E"/>
    <w:rsid w:val="0F623261"/>
    <w:rsid w:val="0F651CD7"/>
    <w:rsid w:val="0F6951E5"/>
    <w:rsid w:val="0F7134BF"/>
    <w:rsid w:val="0F760107"/>
    <w:rsid w:val="0F862064"/>
    <w:rsid w:val="0F99216B"/>
    <w:rsid w:val="0FFC5D5D"/>
    <w:rsid w:val="10046FA5"/>
    <w:rsid w:val="102002BC"/>
    <w:rsid w:val="10207CFE"/>
    <w:rsid w:val="102E36AB"/>
    <w:rsid w:val="10303A75"/>
    <w:rsid w:val="10375291"/>
    <w:rsid w:val="10426282"/>
    <w:rsid w:val="10485FFF"/>
    <w:rsid w:val="10520DC4"/>
    <w:rsid w:val="107C54F8"/>
    <w:rsid w:val="107E3DE2"/>
    <w:rsid w:val="10A1389C"/>
    <w:rsid w:val="10AB1BB5"/>
    <w:rsid w:val="10B070FD"/>
    <w:rsid w:val="10B820E8"/>
    <w:rsid w:val="10BC10F5"/>
    <w:rsid w:val="10CC09C8"/>
    <w:rsid w:val="10E326F5"/>
    <w:rsid w:val="10FC3B54"/>
    <w:rsid w:val="11252D46"/>
    <w:rsid w:val="116D7624"/>
    <w:rsid w:val="116E27A7"/>
    <w:rsid w:val="1173499C"/>
    <w:rsid w:val="11813EAD"/>
    <w:rsid w:val="118A550E"/>
    <w:rsid w:val="118C16DD"/>
    <w:rsid w:val="11B0356C"/>
    <w:rsid w:val="11BA0813"/>
    <w:rsid w:val="11BA0A26"/>
    <w:rsid w:val="11CE0ACB"/>
    <w:rsid w:val="11E91096"/>
    <w:rsid w:val="12102AD4"/>
    <w:rsid w:val="121172C3"/>
    <w:rsid w:val="12461238"/>
    <w:rsid w:val="125D127A"/>
    <w:rsid w:val="125E1A7D"/>
    <w:rsid w:val="12632F65"/>
    <w:rsid w:val="12741128"/>
    <w:rsid w:val="127577D9"/>
    <w:rsid w:val="12764006"/>
    <w:rsid w:val="127D5F8B"/>
    <w:rsid w:val="1283439D"/>
    <w:rsid w:val="128F79FE"/>
    <w:rsid w:val="12F7575A"/>
    <w:rsid w:val="13007CA8"/>
    <w:rsid w:val="1347060C"/>
    <w:rsid w:val="13636306"/>
    <w:rsid w:val="137A663A"/>
    <w:rsid w:val="137C6BDE"/>
    <w:rsid w:val="137E2FCB"/>
    <w:rsid w:val="13815751"/>
    <w:rsid w:val="138C11F0"/>
    <w:rsid w:val="13E31B69"/>
    <w:rsid w:val="13ED3110"/>
    <w:rsid w:val="13F43B93"/>
    <w:rsid w:val="14003F08"/>
    <w:rsid w:val="14085362"/>
    <w:rsid w:val="141C3E2F"/>
    <w:rsid w:val="14442567"/>
    <w:rsid w:val="144F26AA"/>
    <w:rsid w:val="145013C6"/>
    <w:rsid w:val="146F7F84"/>
    <w:rsid w:val="148954D6"/>
    <w:rsid w:val="14936E4C"/>
    <w:rsid w:val="14FB1F0E"/>
    <w:rsid w:val="14FD162F"/>
    <w:rsid w:val="15066DD3"/>
    <w:rsid w:val="156359F8"/>
    <w:rsid w:val="156E1BBC"/>
    <w:rsid w:val="15714044"/>
    <w:rsid w:val="157827D4"/>
    <w:rsid w:val="157F7A0D"/>
    <w:rsid w:val="15AE5C69"/>
    <w:rsid w:val="15B94958"/>
    <w:rsid w:val="15D409AF"/>
    <w:rsid w:val="15F83F45"/>
    <w:rsid w:val="15F846D4"/>
    <w:rsid w:val="15F926EA"/>
    <w:rsid w:val="16055EEA"/>
    <w:rsid w:val="16152F5F"/>
    <w:rsid w:val="16847DFC"/>
    <w:rsid w:val="16996B81"/>
    <w:rsid w:val="169F7A02"/>
    <w:rsid w:val="16A15E5E"/>
    <w:rsid w:val="16CD1590"/>
    <w:rsid w:val="16EE2670"/>
    <w:rsid w:val="16F42580"/>
    <w:rsid w:val="16F4652E"/>
    <w:rsid w:val="17023630"/>
    <w:rsid w:val="173C30CB"/>
    <w:rsid w:val="174A049F"/>
    <w:rsid w:val="1763249F"/>
    <w:rsid w:val="176A174C"/>
    <w:rsid w:val="1774087A"/>
    <w:rsid w:val="178D6845"/>
    <w:rsid w:val="17903EBA"/>
    <w:rsid w:val="17C709EC"/>
    <w:rsid w:val="17D11792"/>
    <w:rsid w:val="17D50F32"/>
    <w:rsid w:val="17EA6535"/>
    <w:rsid w:val="183050C9"/>
    <w:rsid w:val="18327341"/>
    <w:rsid w:val="18435344"/>
    <w:rsid w:val="18461AD6"/>
    <w:rsid w:val="18517B55"/>
    <w:rsid w:val="185731CE"/>
    <w:rsid w:val="187E55F2"/>
    <w:rsid w:val="18827FEF"/>
    <w:rsid w:val="18865985"/>
    <w:rsid w:val="18A60857"/>
    <w:rsid w:val="18D3384E"/>
    <w:rsid w:val="18EE6395"/>
    <w:rsid w:val="18FE3F0D"/>
    <w:rsid w:val="18FF548E"/>
    <w:rsid w:val="19177A2F"/>
    <w:rsid w:val="1926271D"/>
    <w:rsid w:val="19374FD5"/>
    <w:rsid w:val="195013C2"/>
    <w:rsid w:val="19512B8F"/>
    <w:rsid w:val="195E43AF"/>
    <w:rsid w:val="196775FD"/>
    <w:rsid w:val="197B30A0"/>
    <w:rsid w:val="198864C1"/>
    <w:rsid w:val="199C5227"/>
    <w:rsid w:val="19A07311"/>
    <w:rsid w:val="19AD6441"/>
    <w:rsid w:val="19BD44C4"/>
    <w:rsid w:val="19C70F14"/>
    <w:rsid w:val="19E67E87"/>
    <w:rsid w:val="1A0952E5"/>
    <w:rsid w:val="1A0C1F96"/>
    <w:rsid w:val="1A2A4AF2"/>
    <w:rsid w:val="1A40725C"/>
    <w:rsid w:val="1A501EDF"/>
    <w:rsid w:val="1A524F52"/>
    <w:rsid w:val="1A5D2191"/>
    <w:rsid w:val="1A6A728C"/>
    <w:rsid w:val="1A6E4BF0"/>
    <w:rsid w:val="1A871970"/>
    <w:rsid w:val="1A96395E"/>
    <w:rsid w:val="1AC018B5"/>
    <w:rsid w:val="1AC06ECA"/>
    <w:rsid w:val="1ADB63EF"/>
    <w:rsid w:val="1AE13E49"/>
    <w:rsid w:val="1AE21246"/>
    <w:rsid w:val="1AFC04C3"/>
    <w:rsid w:val="1B147D1C"/>
    <w:rsid w:val="1B167538"/>
    <w:rsid w:val="1B1D6F01"/>
    <w:rsid w:val="1B2633E4"/>
    <w:rsid w:val="1B2D0CE1"/>
    <w:rsid w:val="1B343A1F"/>
    <w:rsid w:val="1B385336"/>
    <w:rsid w:val="1B393EED"/>
    <w:rsid w:val="1B5200A3"/>
    <w:rsid w:val="1B722A4E"/>
    <w:rsid w:val="1B7C675C"/>
    <w:rsid w:val="1B86282A"/>
    <w:rsid w:val="1BB7026B"/>
    <w:rsid w:val="1C111016"/>
    <w:rsid w:val="1C152B85"/>
    <w:rsid w:val="1C364FB2"/>
    <w:rsid w:val="1C3D51E2"/>
    <w:rsid w:val="1C753241"/>
    <w:rsid w:val="1C7A2A3B"/>
    <w:rsid w:val="1C814586"/>
    <w:rsid w:val="1C8F5121"/>
    <w:rsid w:val="1CA77019"/>
    <w:rsid w:val="1CB95324"/>
    <w:rsid w:val="1CBB642B"/>
    <w:rsid w:val="1CBC5DED"/>
    <w:rsid w:val="1CC1171C"/>
    <w:rsid w:val="1CCA74F4"/>
    <w:rsid w:val="1CDA774A"/>
    <w:rsid w:val="1CEE5C61"/>
    <w:rsid w:val="1D0D3EAA"/>
    <w:rsid w:val="1D103CB2"/>
    <w:rsid w:val="1D385C91"/>
    <w:rsid w:val="1D3B6977"/>
    <w:rsid w:val="1D400E1B"/>
    <w:rsid w:val="1D454BA4"/>
    <w:rsid w:val="1D4E518B"/>
    <w:rsid w:val="1D572843"/>
    <w:rsid w:val="1D6F650D"/>
    <w:rsid w:val="1D785292"/>
    <w:rsid w:val="1D795413"/>
    <w:rsid w:val="1D994EB1"/>
    <w:rsid w:val="1DAF1087"/>
    <w:rsid w:val="1DD44910"/>
    <w:rsid w:val="1E3F6E9A"/>
    <w:rsid w:val="1EA52E6A"/>
    <w:rsid w:val="1EA66846"/>
    <w:rsid w:val="1EB207D6"/>
    <w:rsid w:val="1EB454C1"/>
    <w:rsid w:val="1EBE368D"/>
    <w:rsid w:val="1EE410DA"/>
    <w:rsid w:val="1EEA2B78"/>
    <w:rsid w:val="1EF22CEA"/>
    <w:rsid w:val="1F031D5F"/>
    <w:rsid w:val="1F1F05AB"/>
    <w:rsid w:val="1F324E1F"/>
    <w:rsid w:val="1F4F39E6"/>
    <w:rsid w:val="1F5F19D3"/>
    <w:rsid w:val="1F795197"/>
    <w:rsid w:val="1F79586D"/>
    <w:rsid w:val="1F854932"/>
    <w:rsid w:val="1F945CBD"/>
    <w:rsid w:val="1F963057"/>
    <w:rsid w:val="1FA871F0"/>
    <w:rsid w:val="1FBD6870"/>
    <w:rsid w:val="1FEA7809"/>
    <w:rsid w:val="200019C3"/>
    <w:rsid w:val="201E5F05"/>
    <w:rsid w:val="202A4614"/>
    <w:rsid w:val="203615B0"/>
    <w:rsid w:val="203939E4"/>
    <w:rsid w:val="203A59AC"/>
    <w:rsid w:val="203E19A9"/>
    <w:rsid w:val="205D513C"/>
    <w:rsid w:val="20603E51"/>
    <w:rsid w:val="20671BB1"/>
    <w:rsid w:val="2085392A"/>
    <w:rsid w:val="20916885"/>
    <w:rsid w:val="20A476B0"/>
    <w:rsid w:val="20AB02F7"/>
    <w:rsid w:val="20AE5C8C"/>
    <w:rsid w:val="20D109F4"/>
    <w:rsid w:val="20D53DB7"/>
    <w:rsid w:val="20E46264"/>
    <w:rsid w:val="20F935C4"/>
    <w:rsid w:val="2102023F"/>
    <w:rsid w:val="2103258B"/>
    <w:rsid w:val="21086C02"/>
    <w:rsid w:val="211C074C"/>
    <w:rsid w:val="2144119B"/>
    <w:rsid w:val="216B281C"/>
    <w:rsid w:val="217D645B"/>
    <w:rsid w:val="21814D62"/>
    <w:rsid w:val="21887AE9"/>
    <w:rsid w:val="219D1B1C"/>
    <w:rsid w:val="21A2231D"/>
    <w:rsid w:val="21A46E69"/>
    <w:rsid w:val="21DA1125"/>
    <w:rsid w:val="21DA7771"/>
    <w:rsid w:val="21FA61F9"/>
    <w:rsid w:val="21FE6921"/>
    <w:rsid w:val="220272AE"/>
    <w:rsid w:val="22163678"/>
    <w:rsid w:val="22395809"/>
    <w:rsid w:val="2252391D"/>
    <w:rsid w:val="22581BEE"/>
    <w:rsid w:val="22674611"/>
    <w:rsid w:val="2276713C"/>
    <w:rsid w:val="227C5418"/>
    <w:rsid w:val="22856AC3"/>
    <w:rsid w:val="22A677AF"/>
    <w:rsid w:val="22B150AC"/>
    <w:rsid w:val="230435AF"/>
    <w:rsid w:val="230E3477"/>
    <w:rsid w:val="2316004E"/>
    <w:rsid w:val="23347EC3"/>
    <w:rsid w:val="234501ED"/>
    <w:rsid w:val="23503F96"/>
    <w:rsid w:val="236C4AC2"/>
    <w:rsid w:val="237125A7"/>
    <w:rsid w:val="237C3D65"/>
    <w:rsid w:val="238C1BAE"/>
    <w:rsid w:val="239631D2"/>
    <w:rsid w:val="239C22AB"/>
    <w:rsid w:val="23BD54B3"/>
    <w:rsid w:val="23C80757"/>
    <w:rsid w:val="23D22FD7"/>
    <w:rsid w:val="23DA4D65"/>
    <w:rsid w:val="23F5010D"/>
    <w:rsid w:val="23FE153D"/>
    <w:rsid w:val="24136C31"/>
    <w:rsid w:val="241859D4"/>
    <w:rsid w:val="241A1E35"/>
    <w:rsid w:val="241E2BDC"/>
    <w:rsid w:val="242F709A"/>
    <w:rsid w:val="2467262D"/>
    <w:rsid w:val="24680473"/>
    <w:rsid w:val="24826138"/>
    <w:rsid w:val="2485168E"/>
    <w:rsid w:val="249B2436"/>
    <w:rsid w:val="24A14962"/>
    <w:rsid w:val="24AE469E"/>
    <w:rsid w:val="24B92088"/>
    <w:rsid w:val="24C06CE2"/>
    <w:rsid w:val="24DB0388"/>
    <w:rsid w:val="24EB7F9E"/>
    <w:rsid w:val="24F56ACB"/>
    <w:rsid w:val="24F85F47"/>
    <w:rsid w:val="24FC536C"/>
    <w:rsid w:val="25173476"/>
    <w:rsid w:val="251C405B"/>
    <w:rsid w:val="251D4F5E"/>
    <w:rsid w:val="252024C1"/>
    <w:rsid w:val="25211574"/>
    <w:rsid w:val="25212AEB"/>
    <w:rsid w:val="25245CE7"/>
    <w:rsid w:val="254C6533"/>
    <w:rsid w:val="25582FF8"/>
    <w:rsid w:val="256B2786"/>
    <w:rsid w:val="25720675"/>
    <w:rsid w:val="257D5576"/>
    <w:rsid w:val="258430C2"/>
    <w:rsid w:val="258805AF"/>
    <w:rsid w:val="25914AC0"/>
    <w:rsid w:val="25AB3597"/>
    <w:rsid w:val="25C31A6C"/>
    <w:rsid w:val="25DD5166"/>
    <w:rsid w:val="25DF31E0"/>
    <w:rsid w:val="25E67334"/>
    <w:rsid w:val="25FA576A"/>
    <w:rsid w:val="260D4601"/>
    <w:rsid w:val="260D740C"/>
    <w:rsid w:val="262A569D"/>
    <w:rsid w:val="262C3B85"/>
    <w:rsid w:val="2650413E"/>
    <w:rsid w:val="2650424C"/>
    <w:rsid w:val="26637731"/>
    <w:rsid w:val="2672242E"/>
    <w:rsid w:val="26761F60"/>
    <w:rsid w:val="26765F9B"/>
    <w:rsid w:val="269504AD"/>
    <w:rsid w:val="26BA46DA"/>
    <w:rsid w:val="26BD0C4E"/>
    <w:rsid w:val="26D3033F"/>
    <w:rsid w:val="26E20092"/>
    <w:rsid w:val="27054F80"/>
    <w:rsid w:val="27076EAC"/>
    <w:rsid w:val="270C0FFB"/>
    <w:rsid w:val="271D439D"/>
    <w:rsid w:val="271D4650"/>
    <w:rsid w:val="27383E0A"/>
    <w:rsid w:val="27501E2A"/>
    <w:rsid w:val="278A7CF4"/>
    <w:rsid w:val="279A40E5"/>
    <w:rsid w:val="27B54160"/>
    <w:rsid w:val="27D63093"/>
    <w:rsid w:val="27DA3A72"/>
    <w:rsid w:val="281874A1"/>
    <w:rsid w:val="281A5B19"/>
    <w:rsid w:val="28250A64"/>
    <w:rsid w:val="282B6C11"/>
    <w:rsid w:val="28313220"/>
    <w:rsid w:val="283B12EA"/>
    <w:rsid w:val="284433D8"/>
    <w:rsid w:val="28667150"/>
    <w:rsid w:val="288562DB"/>
    <w:rsid w:val="288C727A"/>
    <w:rsid w:val="28940A27"/>
    <w:rsid w:val="28A46F4D"/>
    <w:rsid w:val="28C052BF"/>
    <w:rsid w:val="28D77202"/>
    <w:rsid w:val="28E504C6"/>
    <w:rsid w:val="28EF2069"/>
    <w:rsid w:val="29312903"/>
    <w:rsid w:val="29381A1C"/>
    <w:rsid w:val="293D2E39"/>
    <w:rsid w:val="29422829"/>
    <w:rsid w:val="29462E41"/>
    <w:rsid w:val="29490C29"/>
    <w:rsid w:val="295B7898"/>
    <w:rsid w:val="296D6A8C"/>
    <w:rsid w:val="29906457"/>
    <w:rsid w:val="29B44108"/>
    <w:rsid w:val="29B833A1"/>
    <w:rsid w:val="29C62421"/>
    <w:rsid w:val="29E77B20"/>
    <w:rsid w:val="29FA2175"/>
    <w:rsid w:val="2A054172"/>
    <w:rsid w:val="2A06185F"/>
    <w:rsid w:val="2A0A2557"/>
    <w:rsid w:val="2A0B7798"/>
    <w:rsid w:val="2A5133DD"/>
    <w:rsid w:val="2A524B92"/>
    <w:rsid w:val="2A7B14DD"/>
    <w:rsid w:val="2A814DA2"/>
    <w:rsid w:val="2A8A49C7"/>
    <w:rsid w:val="2A983CE0"/>
    <w:rsid w:val="2A997FEB"/>
    <w:rsid w:val="2A9A229D"/>
    <w:rsid w:val="2ACF699C"/>
    <w:rsid w:val="2AEB74AF"/>
    <w:rsid w:val="2B095BC6"/>
    <w:rsid w:val="2B18495E"/>
    <w:rsid w:val="2B1E254D"/>
    <w:rsid w:val="2B2E0235"/>
    <w:rsid w:val="2B3C1E6C"/>
    <w:rsid w:val="2B422BD3"/>
    <w:rsid w:val="2B555E21"/>
    <w:rsid w:val="2B597BA5"/>
    <w:rsid w:val="2B5D34B6"/>
    <w:rsid w:val="2B735F95"/>
    <w:rsid w:val="2B873C03"/>
    <w:rsid w:val="2B946403"/>
    <w:rsid w:val="2BC77CE2"/>
    <w:rsid w:val="2BD87BD9"/>
    <w:rsid w:val="2BDD6474"/>
    <w:rsid w:val="2BF00FE1"/>
    <w:rsid w:val="2C0A00CD"/>
    <w:rsid w:val="2C2735BF"/>
    <w:rsid w:val="2C64213E"/>
    <w:rsid w:val="2C8A7BB9"/>
    <w:rsid w:val="2C994743"/>
    <w:rsid w:val="2CA5317B"/>
    <w:rsid w:val="2CA84A38"/>
    <w:rsid w:val="2CAC05B6"/>
    <w:rsid w:val="2CBB62DA"/>
    <w:rsid w:val="2CE637AA"/>
    <w:rsid w:val="2CF32F43"/>
    <w:rsid w:val="2D0009B7"/>
    <w:rsid w:val="2D1446A8"/>
    <w:rsid w:val="2D4565C3"/>
    <w:rsid w:val="2D7A5AF9"/>
    <w:rsid w:val="2D7E24A0"/>
    <w:rsid w:val="2D8A7F05"/>
    <w:rsid w:val="2DA37A5A"/>
    <w:rsid w:val="2DD21333"/>
    <w:rsid w:val="2DDD6D6C"/>
    <w:rsid w:val="2DE02F08"/>
    <w:rsid w:val="2DF3735D"/>
    <w:rsid w:val="2DF86CF8"/>
    <w:rsid w:val="2DF92D4C"/>
    <w:rsid w:val="2E163C96"/>
    <w:rsid w:val="2E306F15"/>
    <w:rsid w:val="2E345609"/>
    <w:rsid w:val="2E47459F"/>
    <w:rsid w:val="2E495346"/>
    <w:rsid w:val="2E4B6ED2"/>
    <w:rsid w:val="2E5E450A"/>
    <w:rsid w:val="2E605BEC"/>
    <w:rsid w:val="2E636D01"/>
    <w:rsid w:val="2E8C5055"/>
    <w:rsid w:val="2E9E6247"/>
    <w:rsid w:val="2EA64855"/>
    <w:rsid w:val="2EA90100"/>
    <w:rsid w:val="2EBD2E7C"/>
    <w:rsid w:val="2EC25AAE"/>
    <w:rsid w:val="2ED12C11"/>
    <w:rsid w:val="2EE17790"/>
    <w:rsid w:val="2F156873"/>
    <w:rsid w:val="2F2B33DE"/>
    <w:rsid w:val="2F2C2D76"/>
    <w:rsid w:val="2F3750DD"/>
    <w:rsid w:val="2F3A368E"/>
    <w:rsid w:val="2F456840"/>
    <w:rsid w:val="2F482B72"/>
    <w:rsid w:val="2F5452D7"/>
    <w:rsid w:val="2F784DA6"/>
    <w:rsid w:val="2F79607B"/>
    <w:rsid w:val="2FA04ED7"/>
    <w:rsid w:val="2FBC11DC"/>
    <w:rsid w:val="30097D7C"/>
    <w:rsid w:val="30196BA2"/>
    <w:rsid w:val="30491513"/>
    <w:rsid w:val="304C4E0E"/>
    <w:rsid w:val="305B0CC6"/>
    <w:rsid w:val="3069465B"/>
    <w:rsid w:val="30B71D97"/>
    <w:rsid w:val="30BD4D97"/>
    <w:rsid w:val="30D470EB"/>
    <w:rsid w:val="30DC37D7"/>
    <w:rsid w:val="310753F2"/>
    <w:rsid w:val="31077A8C"/>
    <w:rsid w:val="31196ADE"/>
    <w:rsid w:val="31527E3C"/>
    <w:rsid w:val="315E6425"/>
    <w:rsid w:val="31611FA8"/>
    <w:rsid w:val="31865F0C"/>
    <w:rsid w:val="318A0A8A"/>
    <w:rsid w:val="318E3DDE"/>
    <w:rsid w:val="31944676"/>
    <w:rsid w:val="31993FEF"/>
    <w:rsid w:val="31CE4FB3"/>
    <w:rsid w:val="31D00B13"/>
    <w:rsid w:val="31DF187A"/>
    <w:rsid w:val="3213421F"/>
    <w:rsid w:val="32136050"/>
    <w:rsid w:val="321E4BD0"/>
    <w:rsid w:val="323C6261"/>
    <w:rsid w:val="32532EB9"/>
    <w:rsid w:val="327E2C44"/>
    <w:rsid w:val="328E60E8"/>
    <w:rsid w:val="32A1672F"/>
    <w:rsid w:val="32B06432"/>
    <w:rsid w:val="32BD76B9"/>
    <w:rsid w:val="32C43EEA"/>
    <w:rsid w:val="32E83570"/>
    <w:rsid w:val="32F74C48"/>
    <w:rsid w:val="32F852FF"/>
    <w:rsid w:val="336645C0"/>
    <w:rsid w:val="33BD6B79"/>
    <w:rsid w:val="33BF7111"/>
    <w:rsid w:val="33CA3C7F"/>
    <w:rsid w:val="33D27FB5"/>
    <w:rsid w:val="33EF3A5C"/>
    <w:rsid w:val="34342609"/>
    <w:rsid w:val="3447586D"/>
    <w:rsid w:val="344D4BA9"/>
    <w:rsid w:val="345B70E3"/>
    <w:rsid w:val="34732DF6"/>
    <w:rsid w:val="34774209"/>
    <w:rsid w:val="34822A88"/>
    <w:rsid w:val="349C4761"/>
    <w:rsid w:val="34A04512"/>
    <w:rsid w:val="34A63008"/>
    <w:rsid w:val="34B434E9"/>
    <w:rsid w:val="34BC313B"/>
    <w:rsid w:val="34DA31A2"/>
    <w:rsid w:val="34F4509A"/>
    <w:rsid w:val="34F66037"/>
    <w:rsid w:val="350701B3"/>
    <w:rsid w:val="350E517D"/>
    <w:rsid w:val="353E4427"/>
    <w:rsid w:val="356A24B0"/>
    <w:rsid w:val="3589578F"/>
    <w:rsid w:val="358B206F"/>
    <w:rsid w:val="35974157"/>
    <w:rsid w:val="35AA774C"/>
    <w:rsid w:val="35D70D37"/>
    <w:rsid w:val="35FA7C22"/>
    <w:rsid w:val="360D320C"/>
    <w:rsid w:val="360E2D42"/>
    <w:rsid w:val="362368D0"/>
    <w:rsid w:val="36244E18"/>
    <w:rsid w:val="363527A2"/>
    <w:rsid w:val="363E283C"/>
    <w:rsid w:val="364436B5"/>
    <w:rsid w:val="365E69CD"/>
    <w:rsid w:val="36625534"/>
    <w:rsid w:val="36645705"/>
    <w:rsid w:val="366B6816"/>
    <w:rsid w:val="36B16643"/>
    <w:rsid w:val="36B17E17"/>
    <w:rsid w:val="36BC613A"/>
    <w:rsid w:val="37060025"/>
    <w:rsid w:val="373661A0"/>
    <w:rsid w:val="37484B4C"/>
    <w:rsid w:val="37705E9B"/>
    <w:rsid w:val="37A2767B"/>
    <w:rsid w:val="37AE63C0"/>
    <w:rsid w:val="37C87FD8"/>
    <w:rsid w:val="37E15990"/>
    <w:rsid w:val="38052B4C"/>
    <w:rsid w:val="38274A18"/>
    <w:rsid w:val="38390899"/>
    <w:rsid w:val="383B711E"/>
    <w:rsid w:val="3848018F"/>
    <w:rsid w:val="385672EA"/>
    <w:rsid w:val="385F7983"/>
    <w:rsid w:val="389800D7"/>
    <w:rsid w:val="38C15E0E"/>
    <w:rsid w:val="38C72FAA"/>
    <w:rsid w:val="38CF5396"/>
    <w:rsid w:val="38EE732D"/>
    <w:rsid w:val="38F03D59"/>
    <w:rsid w:val="38FD5B74"/>
    <w:rsid w:val="390D1618"/>
    <w:rsid w:val="39174384"/>
    <w:rsid w:val="39205AA0"/>
    <w:rsid w:val="392303B8"/>
    <w:rsid w:val="39233FC9"/>
    <w:rsid w:val="392514E4"/>
    <w:rsid w:val="392A5647"/>
    <w:rsid w:val="39301428"/>
    <w:rsid w:val="393D1B8E"/>
    <w:rsid w:val="393D6A92"/>
    <w:rsid w:val="394B4F30"/>
    <w:rsid w:val="39524DA8"/>
    <w:rsid w:val="39534FAF"/>
    <w:rsid w:val="39715301"/>
    <w:rsid w:val="39826887"/>
    <w:rsid w:val="39845569"/>
    <w:rsid w:val="39A52308"/>
    <w:rsid w:val="39BC710D"/>
    <w:rsid w:val="39CA17B0"/>
    <w:rsid w:val="39D1357D"/>
    <w:rsid w:val="39D53E2B"/>
    <w:rsid w:val="39D5773D"/>
    <w:rsid w:val="39DA5936"/>
    <w:rsid w:val="39DB1550"/>
    <w:rsid w:val="39E23418"/>
    <w:rsid w:val="39E719B4"/>
    <w:rsid w:val="39FD67E8"/>
    <w:rsid w:val="3A0D2349"/>
    <w:rsid w:val="3A13358E"/>
    <w:rsid w:val="3A2A0910"/>
    <w:rsid w:val="3A3A7165"/>
    <w:rsid w:val="3A437B74"/>
    <w:rsid w:val="3A484523"/>
    <w:rsid w:val="3A606D30"/>
    <w:rsid w:val="3A6E0F1A"/>
    <w:rsid w:val="3A6E7574"/>
    <w:rsid w:val="3A8D3C7D"/>
    <w:rsid w:val="3A914986"/>
    <w:rsid w:val="3AA22AD4"/>
    <w:rsid w:val="3AAD6D0B"/>
    <w:rsid w:val="3ABF7492"/>
    <w:rsid w:val="3AC85407"/>
    <w:rsid w:val="3AD24D11"/>
    <w:rsid w:val="3AD30759"/>
    <w:rsid w:val="3AF34A2E"/>
    <w:rsid w:val="3AF64EE6"/>
    <w:rsid w:val="3B24545B"/>
    <w:rsid w:val="3B2B5F5E"/>
    <w:rsid w:val="3B2D65C6"/>
    <w:rsid w:val="3B6625D7"/>
    <w:rsid w:val="3B7A14F5"/>
    <w:rsid w:val="3B9311DC"/>
    <w:rsid w:val="3BA73422"/>
    <w:rsid w:val="3BA9324F"/>
    <w:rsid w:val="3BAD2B9C"/>
    <w:rsid w:val="3BBA51EF"/>
    <w:rsid w:val="3BEE221B"/>
    <w:rsid w:val="3BF27A2C"/>
    <w:rsid w:val="3BF45421"/>
    <w:rsid w:val="3BF55A59"/>
    <w:rsid w:val="3C0017DD"/>
    <w:rsid w:val="3C1726A2"/>
    <w:rsid w:val="3C261720"/>
    <w:rsid w:val="3C440BAC"/>
    <w:rsid w:val="3C4C4BEB"/>
    <w:rsid w:val="3C5B3043"/>
    <w:rsid w:val="3C606C7C"/>
    <w:rsid w:val="3C701213"/>
    <w:rsid w:val="3C706A59"/>
    <w:rsid w:val="3C8222D1"/>
    <w:rsid w:val="3C874344"/>
    <w:rsid w:val="3C8A5559"/>
    <w:rsid w:val="3C905024"/>
    <w:rsid w:val="3CA76E62"/>
    <w:rsid w:val="3CA948CA"/>
    <w:rsid w:val="3CB629F5"/>
    <w:rsid w:val="3CB64334"/>
    <w:rsid w:val="3CB87975"/>
    <w:rsid w:val="3CC027D6"/>
    <w:rsid w:val="3CC84430"/>
    <w:rsid w:val="3CE81D65"/>
    <w:rsid w:val="3CE85F69"/>
    <w:rsid w:val="3D02260D"/>
    <w:rsid w:val="3D072F1D"/>
    <w:rsid w:val="3D300595"/>
    <w:rsid w:val="3D340F6E"/>
    <w:rsid w:val="3D755C4C"/>
    <w:rsid w:val="3D7B7E3A"/>
    <w:rsid w:val="3D815332"/>
    <w:rsid w:val="3DA426FD"/>
    <w:rsid w:val="3DAD6789"/>
    <w:rsid w:val="3DBA3892"/>
    <w:rsid w:val="3DC953CE"/>
    <w:rsid w:val="3DCF06A4"/>
    <w:rsid w:val="3DFC3175"/>
    <w:rsid w:val="3E033979"/>
    <w:rsid w:val="3E047BF4"/>
    <w:rsid w:val="3E064EA2"/>
    <w:rsid w:val="3E283233"/>
    <w:rsid w:val="3E287647"/>
    <w:rsid w:val="3E427A0F"/>
    <w:rsid w:val="3E597A79"/>
    <w:rsid w:val="3E73168B"/>
    <w:rsid w:val="3E9A4373"/>
    <w:rsid w:val="3EB82DB4"/>
    <w:rsid w:val="3EBA1BBA"/>
    <w:rsid w:val="3EEA44F6"/>
    <w:rsid w:val="3F0736AA"/>
    <w:rsid w:val="3F0C123C"/>
    <w:rsid w:val="3F157A2F"/>
    <w:rsid w:val="3F1B0E6F"/>
    <w:rsid w:val="3F2F02E4"/>
    <w:rsid w:val="3F37261D"/>
    <w:rsid w:val="3F415B1A"/>
    <w:rsid w:val="3F62111F"/>
    <w:rsid w:val="3F720CEE"/>
    <w:rsid w:val="3F753132"/>
    <w:rsid w:val="3F7600BB"/>
    <w:rsid w:val="3F8977D9"/>
    <w:rsid w:val="3F90352A"/>
    <w:rsid w:val="3FAC764C"/>
    <w:rsid w:val="3FBB7915"/>
    <w:rsid w:val="3FE269D2"/>
    <w:rsid w:val="3FEF02D7"/>
    <w:rsid w:val="3FF00A52"/>
    <w:rsid w:val="3FF100A4"/>
    <w:rsid w:val="402078D6"/>
    <w:rsid w:val="40552B60"/>
    <w:rsid w:val="405B195D"/>
    <w:rsid w:val="405C361B"/>
    <w:rsid w:val="409F029C"/>
    <w:rsid w:val="40BF2EB5"/>
    <w:rsid w:val="40C64019"/>
    <w:rsid w:val="40CD4B55"/>
    <w:rsid w:val="40DA2D68"/>
    <w:rsid w:val="40F21616"/>
    <w:rsid w:val="40F875C2"/>
    <w:rsid w:val="411371D6"/>
    <w:rsid w:val="41141007"/>
    <w:rsid w:val="41222A60"/>
    <w:rsid w:val="41306E9C"/>
    <w:rsid w:val="416923F4"/>
    <w:rsid w:val="416D0B9F"/>
    <w:rsid w:val="41711313"/>
    <w:rsid w:val="41752E23"/>
    <w:rsid w:val="418D22FC"/>
    <w:rsid w:val="418D576B"/>
    <w:rsid w:val="419015F3"/>
    <w:rsid w:val="41AA391D"/>
    <w:rsid w:val="41BB4473"/>
    <w:rsid w:val="41C95CB3"/>
    <w:rsid w:val="41E7464D"/>
    <w:rsid w:val="41E95282"/>
    <w:rsid w:val="41F26A9F"/>
    <w:rsid w:val="41F64CFF"/>
    <w:rsid w:val="421D1448"/>
    <w:rsid w:val="423A7689"/>
    <w:rsid w:val="424876BD"/>
    <w:rsid w:val="426E7285"/>
    <w:rsid w:val="42702F4D"/>
    <w:rsid w:val="4288756F"/>
    <w:rsid w:val="42A3012F"/>
    <w:rsid w:val="42A82E29"/>
    <w:rsid w:val="42E87B39"/>
    <w:rsid w:val="42FC207F"/>
    <w:rsid w:val="43132D70"/>
    <w:rsid w:val="432302FB"/>
    <w:rsid w:val="43366C9E"/>
    <w:rsid w:val="433A5F1A"/>
    <w:rsid w:val="4356202F"/>
    <w:rsid w:val="436F3FE6"/>
    <w:rsid w:val="43797EE0"/>
    <w:rsid w:val="4393753A"/>
    <w:rsid w:val="439923E6"/>
    <w:rsid w:val="439D3F23"/>
    <w:rsid w:val="43A47A7B"/>
    <w:rsid w:val="43A54A4C"/>
    <w:rsid w:val="43BB2D9E"/>
    <w:rsid w:val="43CB3DA1"/>
    <w:rsid w:val="43E2064F"/>
    <w:rsid w:val="43EE7D03"/>
    <w:rsid w:val="440761B5"/>
    <w:rsid w:val="440D6092"/>
    <w:rsid w:val="442E12E3"/>
    <w:rsid w:val="444126AE"/>
    <w:rsid w:val="444B3F39"/>
    <w:rsid w:val="44535159"/>
    <w:rsid w:val="445D606A"/>
    <w:rsid w:val="44DB03C4"/>
    <w:rsid w:val="44DF4364"/>
    <w:rsid w:val="44ED2731"/>
    <w:rsid w:val="44ED3356"/>
    <w:rsid w:val="44F46660"/>
    <w:rsid w:val="44F51D4B"/>
    <w:rsid w:val="454345AA"/>
    <w:rsid w:val="455C2806"/>
    <w:rsid w:val="455D06B7"/>
    <w:rsid w:val="455D0829"/>
    <w:rsid w:val="455D512D"/>
    <w:rsid w:val="456C4760"/>
    <w:rsid w:val="456F23DB"/>
    <w:rsid w:val="457863C6"/>
    <w:rsid w:val="458D3152"/>
    <w:rsid w:val="45A14A21"/>
    <w:rsid w:val="45C37EDF"/>
    <w:rsid w:val="45C47310"/>
    <w:rsid w:val="45D83D31"/>
    <w:rsid w:val="45F16D87"/>
    <w:rsid w:val="461B2C69"/>
    <w:rsid w:val="462D72DF"/>
    <w:rsid w:val="462F2C9F"/>
    <w:rsid w:val="46434930"/>
    <w:rsid w:val="46463AB2"/>
    <w:rsid w:val="46563ADA"/>
    <w:rsid w:val="465A01EC"/>
    <w:rsid w:val="466C0509"/>
    <w:rsid w:val="466E0628"/>
    <w:rsid w:val="467644C5"/>
    <w:rsid w:val="468B0930"/>
    <w:rsid w:val="468B22B6"/>
    <w:rsid w:val="46A12951"/>
    <w:rsid w:val="46C61899"/>
    <w:rsid w:val="46C72D5A"/>
    <w:rsid w:val="46F35FBA"/>
    <w:rsid w:val="47167EC8"/>
    <w:rsid w:val="47245392"/>
    <w:rsid w:val="474F013A"/>
    <w:rsid w:val="47592873"/>
    <w:rsid w:val="47651A45"/>
    <w:rsid w:val="476D4CA9"/>
    <w:rsid w:val="477251BC"/>
    <w:rsid w:val="4775526A"/>
    <w:rsid w:val="4779441E"/>
    <w:rsid w:val="477C5F6C"/>
    <w:rsid w:val="478A6ABE"/>
    <w:rsid w:val="478E7E57"/>
    <w:rsid w:val="47A76756"/>
    <w:rsid w:val="47CD3149"/>
    <w:rsid w:val="47D973C6"/>
    <w:rsid w:val="480D0D49"/>
    <w:rsid w:val="48227CB9"/>
    <w:rsid w:val="48340CA8"/>
    <w:rsid w:val="48413661"/>
    <w:rsid w:val="48552BD8"/>
    <w:rsid w:val="486142FF"/>
    <w:rsid w:val="486E3E58"/>
    <w:rsid w:val="487227F9"/>
    <w:rsid w:val="48781088"/>
    <w:rsid w:val="48794474"/>
    <w:rsid w:val="48921A8A"/>
    <w:rsid w:val="4893298E"/>
    <w:rsid w:val="491D2192"/>
    <w:rsid w:val="493D6E4D"/>
    <w:rsid w:val="4941207A"/>
    <w:rsid w:val="4945181C"/>
    <w:rsid w:val="498D67A8"/>
    <w:rsid w:val="49990E18"/>
    <w:rsid w:val="499A27DC"/>
    <w:rsid w:val="49B91E91"/>
    <w:rsid w:val="49C341DE"/>
    <w:rsid w:val="49C3785C"/>
    <w:rsid w:val="49C61670"/>
    <w:rsid w:val="49D3197C"/>
    <w:rsid w:val="49E73845"/>
    <w:rsid w:val="49E85F88"/>
    <w:rsid w:val="4A270E72"/>
    <w:rsid w:val="4A310E20"/>
    <w:rsid w:val="4A333041"/>
    <w:rsid w:val="4A3F04FC"/>
    <w:rsid w:val="4A4B0111"/>
    <w:rsid w:val="4A8924D1"/>
    <w:rsid w:val="4A946530"/>
    <w:rsid w:val="4AA36F80"/>
    <w:rsid w:val="4AA84369"/>
    <w:rsid w:val="4AC14202"/>
    <w:rsid w:val="4AC977F0"/>
    <w:rsid w:val="4AD55C8E"/>
    <w:rsid w:val="4AEF502D"/>
    <w:rsid w:val="4B001A16"/>
    <w:rsid w:val="4B114E81"/>
    <w:rsid w:val="4B1238D5"/>
    <w:rsid w:val="4B2A6738"/>
    <w:rsid w:val="4B32355C"/>
    <w:rsid w:val="4B32401E"/>
    <w:rsid w:val="4B3D69D4"/>
    <w:rsid w:val="4B626A43"/>
    <w:rsid w:val="4B78167B"/>
    <w:rsid w:val="4B785580"/>
    <w:rsid w:val="4B7A4B99"/>
    <w:rsid w:val="4B9F0F42"/>
    <w:rsid w:val="4BAD24DB"/>
    <w:rsid w:val="4BAE6E38"/>
    <w:rsid w:val="4BB67B83"/>
    <w:rsid w:val="4BC0096E"/>
    <w:rsid w:val="4BD14CC5"/>
    <w:rsid w:val="4BDB28C2"/>
    <w:rsid w:val="4C001744"/>
    <w:rsid w:val="4C014414"/>
    <w:rsid w:val="4C0F622C"/>
    <w:rsid w:val="4C1C574F"/>
    <w:rsid w:val="4C2E33B4"/>
    <w:rsid w:val="4C401BFD"/>
    <w:rsid w:val="4C457803"/>
    <w:rsid w:val="4C640133"/>
    <w:rsid w:val="4C741A40"/>
    <w:rsid w:val="4C831773"/>
    <w:rsid w:val="4C882435"/>
    <w:rsid w:val="4CC33226"/>
    <w:rsid w:val="4CC967C3"/>
    <w:rsid w:val="4CE9761A"/>
    <w:rsid w:val="4CEF22C9"/>
    <w:rsid w:val="4CF41D74"/>
    <w:rsid w:val="4D09444A"/>
    <w:rsid w:val="4D113105"/>
    <w:rsid w:val="4D171B00"/>
    <w:rsid w:val="4D174C57"/>
    <w:rsid w:val="4D224323"/>
    <w:rsid w:val="4D2C0DCF"/>
    <w:rsid w:val="4D5713EB"/>
    <w:rsid w:val="4D6579A5"/>
    <w:rsid w:val="4D8245C0"/>
    <w:rsid w:val="4D8648CF"/>
    <w:rsid w:val="4D880B1F"/>
    <w:rsid w:val="4DA90138"/>
    <w:rsid w:val="4DB8082C"/>
    <w:rsid w:val="4DBE1383"/>
    <w:rsid w:val="4DC776DB"/>
    <w:rsid w:val="4DCC3911"/>
    <w:rsid w:val="4DE80E43"/>
    <w:rsid w:val="4E070B1D"/>
    <w:rsid w:val="4E084428"/>
    <w:rsid w:val="4E4B7839"/>
    <w:rsid w:val="4E593C78"/>
    <w:rsid w:val="4E5B55F8"/>
    <w:rsid w:val="4E8C4213"/>
    <w:rsid w:val="4E9B7A62"/>
    <w:rsid w:val="4E9C262A"/>
    <w:rsid w:val="4EA721DB"/>
    <w:rsid w:val="4EB24C8A"/>
    <w:rsid w:val="4EB31DF2"/>
    <w:rsid w:val="4EC417E4"/>
    <w:rsid w:val="4ED6179F"/>
    <w:rsid w:val="4F221E1E"/>
    <w:rsid w:val="4F4E044C"/>
    <w:rsid w:val="4F5E467E"/>
    <w:rsid w:val="4F7C6DF4"/>
    <w:rsid w:val="4F8561E5"/>
    <w:rsid w:val="4F9C384D"/>
    <w:rsid w:val="4FA51FF6"/>
    <w:rsid w:val="4FCB2433"/>
    <w:rsid w:val="4FDA3B39"/>
    <w:rsid w:val="4FFE7DD8"/>
    <w:rsid w:val="50083548"/>
    <w:rsid w:val="503350B6"/>
    <w:rsid w:val="50342257"/>
    <w:rsid w:val="5035243E"/>
    <w:rsid w:val="503B7AD3"/>
    <w:rsid w:val="50557F1D"/>
    <w:rsid w:val="506B529A"/>
    <w:rsid w:val="50742B09"/>
    <w:rsid w:val="50755EB4"/>
    <w:rsid w:val="5088776C"/>
    <w:rsid w:val="509153F3"/>
    <w:rsid w:val="50EA1B99"/>
    <w:rsid w:val="50EC03B9"/>
    <w:rsid w:val="510838D7"/>
    <w:rsid w:val="51155692"/>
    <w:rsid w:val="51164DCB"/>
    <w:rsid w:val="511812DB"/>
    <w:rsid w:val="51341039"/>
    <w:rsid w:val="51475703"/>
    <w:rsid w:val="51677101"/>
    <w:rsid w:val="516A37A3"/>
    <w:rsid w:val="51944421"/>
    <w:rsid w:val="519B0F84"/>
    <w:rsid w:val="51BA048C"/>
    <w:rsid w:val="51FE7D99"/>
    <w:rsid w:val="520E011B"/>
    <w:rsid w:val="521F5887"/>
    <w:rsid w:val="522C607B"/>
    <w:rsid w:val="523A0091"/>
    <w:rsid w:val="52440D85"/>
    <w:rsid w:val="524B307D"/>
    <w:rsid w:val="52544365"/>
    <w:rsid w:val="52873DD6"/>
    <w:rsid w:val="52AD0270"/>
    <w:rsid w:val="52EA54F1"/>
    <w:rsid w:val="52F27872"/>
    <w:rsid w:val="52F948DE"/>
    <w:rsid w:val="530206C5"/>
    <w:rsid w:val="53085EDD"/>
    <w:rsid w:val="53362977"/>
    <w:rsid w:val="53436EF7"/>
    <w:rsid w:val="534917EB"/>
    <w:rsid w:val="53504627"/>
    <w:rsid w:val="5356241E"/>
    <w:rsid w:val="5364555D"/>
    <w:rsid w:val="536B275A"/>
    <w:rsid w:val="53900F46"/>
    <w:rsid w:val="53B74820"/>
    <w:rsid w:val="53BB7E52"/>
    <w:rsid w:val="53D20BC2"/>
    <w:rsid w:val="53E27337"/>
    <w:rsid w:val="53F8676C"/>
    <w:rsid w:val="5406667D"/>
    <w:rsid w:val="5411602A"/>
    <w:rsid w:val="54235AED"/>
    <w:rsid w:val="542469F3"/>
    <w:rsid w:val="5437732A"/>
    <w:rsid w:val="544055F0"/>
    <w:rsid w:val="546E2DD2"/>
    <w:rsid w:val="54900A2C"/>
    <w:rsid w:val="54916E41"/>
    <w:rsid w:val="54AC19BA"/>
    <w:rsid w:val="54BD312C"/>
    <w:rsid w:val="54C01CAD"/>
    <w:rsid w:val="55094951"/>
    <w:rsid w:val="551C4143"/>
    <w:rsid w:val="55241E8F"/>
    <w:rsid w:val="552A165D"/>
    <w:rsid w:val="552D1431"/>
    <w:rsid w:val="55306789"/>
    <w:rsid w:val="553E0A41"/>
    <w:rsid w:val="554967A4"/>
    <w:rsid w:val="55517DFB"/>
    <w:rsid w:val="55542D70"/>
    <w:rsid w:val="555B3B07"/>
    <w:rsid w:val="555F62D7"/>
    <w:rsid w:val="5568055C"/>
    <w:rsid w:val="55894A31"/>
    <w:rsid w:val="55AC712E"/>
    <w:rsid w:val="55AF4077"/>
    <w:rsid w:val="55D4360C"/>
    <w:rsid w:val="55E1027E"/>
    <w:rsid w:val="560D505E"/>
    <w:rsid w:val="56177833"/>
    <w:rsid w:val="561B0B2F"/>
    <w:rsid w:val="563C00B7"/>
    <w:rsid w:val="56432A38"/>
    <w:rsid w:val="56565AD2"/>
    <w:rsid w:val="56583809"/>
    <w:rsid w:val="56673EE7"/>
    <w:rsid w:val="56712726"/>
    <w:rsid w:val="56751A9F"/>
    <w:rsid w:val="56A53D14"/>
    <w:rsid w:val="56B134C8"/>
    <w:rsid w:val="56C34C15"/>
    <w:rsid w:val="56CD47C0"/>
    <w:rsid w:val="56DB1BFC"/>
    <w:rsid w:val="56DE12D4"/>
    <w:rsid w:val="56E23222"/>
    <w:rsid w:val="56E6639D"/>
    <w:rsid w:val="56EF6501"/>
    <w:rsid w:val="56F545C7"/>
    <w:rsid w:val="571D76BF"/>
    <w:rsid w:val="572869F5"/>
    <w:rsid w:val="572C3EE7"/>
    <w:rsid w:val="57332674"/>
    <w:rsid w:val="573C398C"/>
    <w:rsid w:val="574B71D3"/>
    <w:rsid w:val="57543374"/>
    <w:rsid w:val="57803F14"/>
    <w:rsid w:val="5795677A"/>
    <w:rsid w:val="57985CD7"/>
    <w:rsid w:val="579A440B"/>
    <w:rsid w:val="57AF55EF"/>
    <w:rsid w:val="57D931FA"/>
    <w:rsid w:val="57DF1CDC"/>
    <w:rsid w:val="581433A3"/>
    <w:rsid w:val="58154310"/>
    <w:rsid w:val="581D1B13"/>
    <w:rsid w:val="58302DF9"/>
    <w:rsid w:val="58417E30"/>
    <w:rsid w:val="584A19BC"/>
    <w:rsid w:val="58695A64"/>
    <w:rsid w:val="58785748"/>
    <w:rsid w:val="587F271D"/>
    <w:rsid w:val="588349D6"/>
    <w:rsid w:val="588E0D61"/>
    <w:rsid w:val="589215D0"/>
    <w:rsid w:val="58A55C9D"/>
    <w:rsid w:val="58AE3657"/>
    <w:rsid w:val="58F571E7"/>
    <w:rsid w:val="59087DC1"/>
    <w:rsid w:val="5911491E"/>
    <w:rsid w:val="591D5274"/>
    <w:rsid w:val="59455595"/>
    <w:rsid w:val="59550D6A"/>
    <w:rsid w:val="597531FB"/>
    <w:rsid w:val="597B033E"/>
    <w:rsid w:val="59A43F49"/>
    <w:rsid w:val="59BB669B"/>
    <w:rsid w:val="59C70D73"/>
    <w:rsid w:val="59C86C60"/>
    <w:rsid w:val="5A081A67"/>
    <w:rsid w:val="5A0A7003"/>
    <w:rsid w:val="5A1D75DF"/>
    <w:rsid w:val="5A3A3A95"/>
    <w:rsid w:val="5A4524A1"/>
    <w:rsid w:val="5A4E3874"/>
    <w:rsid w:val="5A523529"/>
    <w:rsid w:val="5A751B7E"/>
    <w:rsid w:val="5A7A4FD7"/>
    <w:rsid w:val="5A9A35D4"/>
    <w:rsid w:val="5AA26FCB"/>
    <w:rsid w:val="5AB548C4"/>
    <w:rsid w:val="5AC0564E"/>
    <w:rsid w:val="5AC62EF3"/>
    <w:rsid w:val="5ACE0EE5"/>
    <w:rsid w:val="5ACF76E2"/>
    <w:rsid w:val="5AD862A7"/>
    <w:rsid w:val="5AEC4C12"/>
    <w:rsid w:val="5AEE7E4E"/>
    <w:rsid w:val="5AFB7EE1"/>
    <w:rsid w:val="5B0D42D7"/>
    <w:rsid w:val="5B1070BD"/>
    <w:rsid w:val="5B16642C"/>
    <w:rsid w:val="5B244A2A"/>
    <w:rsid w:val="5B3E500C"/>
    <w:rsid w:val="5B487A19"/>
    <w:rsid w:val="5B5B3F33"/>
    <w:rsid w:val="5B9C72DD"/>
    <w:rsid w:val="5BA966FD"/>
    <w:rsid w:val="5BD54D95"/>
    <w:rsid w:val="5BD9338D"/>
    <w:rsid w:val="5BE5105F"/>
    <w:rsid w:val="5BE733D2"/>
    <w:rsid w:val="5C106C38"/>
    <w:rsid w:val="5C151E8A"/>
    <w:rsid w:val="5C413F7B"/>
    <w:rsid w:val="5C6F36C4"/>
    <w:rsid w:val="5C9B5FF2"/>
    <w:rsid w:val="5CA8339C"/>
    <w:rsid w:val="5CB66F89"/>
    <w:rsid w:val="5CC72E56"/>
    <w:rsid w:val="5CCD4553"/>
    <w:rsid w:val="5CDD645A"/>
    <w:rsid w:val="5CEC4A31"/>
    <w:rsid w:val="5CF63190"/>
    <w:rsid w:val="5CF77ACA"/>
    <w:rsid w:val="5D100AF2"/>
    <w:rsid w:val="5D1F1194"/>
    <w:rsid w:val="5D33056B"/>
    <w:rsid w:val="5D451858"/>
    <w:rsid w:val="5D5C2FE9"/>
    <w:rsid w:val="5D63710C"/>
    <w:rsid w:val="5D7A26BE"/>
    <w:rsid w:val="5D9C60B3"/>
    <w:rsid w:val="5DAB4877"/>
    <w:rsid w:val="5DB014EE"/>
    <w:rsid w:val="5DB945B2"/>
    <w:rsid w:val="5DC672F4"/>
    <w:rsid w:val="5DD96225"/>
    <w:rsid w:val="5DDC677D"/>
    <w:rsid w:val="5DDD471D"/>
    <w:rsid w:val="5E131C10"/>
    <w:rsid w:val="5E435D5B"/>
    <w:rsid w:val="5E4E02A8"/>
    <w:rsid w:val="5E5038DA"/>
    <w:rsid w:val="5E5B1267"/>
    <w:rsid w:val="5E625BB5"/>
    <w:rsid w:val="5E7B455E"/>
    <w:rsid w:val="5E842F8B"/>
    <w:rsid w:val="5E9E51DF"/>
    <w:rsid w:val="5EA7721F"/>
    <w:rsid w:val="5EDD3D52"/>
    <w:rsid w:val="5EEB4FFB"/>
    <w:rsid w:val="5F1078F1"/>
    <w:rsid w:val="5F172937"/>
    <w:rsid w:val="5F1B5678"/>
    <w:rsid w:val="5F252D38"/>
    <w:rsid w:val="5F2F7A8A"/>
    <w:rsid w:val="5F45114F"/>
    <w:rsid w:val="5F466448"/>
    <w:rsid w:val="5F887240"/>
    <w:rsid w:val="5F9D0C13"/>
    <w:rsid w:val="5FC0133C"/>
    <w:rsid w:val="5FC142E9"/>
    <w:rsid w:val="5FD77508"/>
    <w:rsid w:val="5FF317EA"/>
    <w:rsid w:val="5FFF0B81"/>
    <w:rsid w:val="6015468B"/>
    <w:rsid w:val="60485439"/>
    <w:rsid w:val="604A2CBA"/>
    <w:rsid w:val="605F5981"/>
    <w:rsid w:val="606978E0"/>
    <w:rsid w:val="607B327F"/>
    <w:rsid w:val="608F7E23"/>
    <w:rsid w:val="609342AA"/>
    <w:rsid w:val="609F1E4B"/>
    <w:rsid w:val="60DA5F22"/>
    <w:rsid w:val="60E451A2"/>
    <w:rsid w:val="60F42808"/>
    <w:rsid w:val="60F447B8"/>
    <w:rsid w:val="61170B91"/>
    <w:rsid w:val="613110D1"/>
    <w:rsid w:val="61343FB9"/>
    <w:rsid w:val="613C576E"/>
    <w:rsid w:val="614E6D7E"/>
    <w:rsid w:val="615B468A"/>
    <w:rsid w:val="615E1931"/>
    <w:rsid w:val="61765FD6"/>
    <w:rsid w:val="617B3242"/>
    <w:rsid w:val="61833F7F"/>
    <w:rsid w:val="618A1EDB"/>
    <w:rsid w:val="61904B76"/>
    <w:rsid w:val="61A2029B"/>
    <w:rsid w:val="61A60145"/>
    <w:rsid w:val="61AD20DF"/>
    <w:rsid w:val="61CB335E"/>
    <w:rsid w:val="61CE14C9"/>
    <w:rsid w:val="61DC3E97"/>
    <w:rsid w:val="61E80A63"/>
    <w:rsid w:val="61E85140"/>
    <w:rsid w:val="62077BA0"/>
    <w:rsid w:val="620C7E24"/>
    <w:rsid w:val="624A1D12"/>
    <w:rsid w:val="625213A3"/>
    <w:rsid w:val="625F2D40"/>
    <w:rsid w:val="626003D1"/>
    <w:rsid w:val="6264797B"/>
    <w:rsid w:val="627C1865"/>
    <w:rsid w:val="62DA31B2"/>
    <w:rsid w:val="62DC688A"/>
    <w:rsid w:val="62E24794"/>
    <w:rsid w:val="62F53B58"/>
    <w:rsid w:val="62F67DEE"/>
    <w:rsid w:val="62FA0299"/>
    <w:rsid w:val="62FB78FA"/>
    <w:rsid w:val="62FF5DC3"/>
    <w:rsid w:val="63091E2D"/>
    <w:rsid w:val="630E1CB9"/>
    <w:rsid w:val="631E6B5A"/>
    <w:rsid w:val="63302014"/>
    <w:rsid w:val="633354C3"/>
    <w:rsid w:val="63382333"/>
    <w:rsid w:val="634B23B0"/>
    <w:rsid w:val="635D4F91"/>
    <w:rsid w:val="636568CB"/>
    <w:rsid w:val="63713A0D"/>
    <w:rsid w:val="637816CF"/>
    <w:rsid w:val="63786FA8"/>
    <w:rsid w:val="637F69DE"/>
    <w:rsid w:val="63901B09"/>
    <w:rsid w:val="63994172"/>
    <w:rsid w:val="63A67AC0"/>
    <w:rsid w:val="63B96C18"/>
    <w:rsid w:val="63C07A5F"/>
    <w:rsid w:val="63C40FCD"/>
    <w:rsid w:val="63DC2350"/>
    <w:rsid w:val="63DF42C9"/>
    <w:rsid w:val="63F11DDD"/>
    <w:rsid w:val="6400749E"/>
    <w:rsid w:val="640B44FF"/>
    <w:rsid w:val="644A05C2"/>
    <w:rsid w:val="644F6797"/>
    <w:rsid w:val="645724A9"/>
    <w:rsid w:val="645D555C"/>
    <w:rsid w:val="646C2CCD"/>
    <w:rsid w:val="64952879"/>
    <w:rsid w:val="64AE4206"/>
    <w:rsid w:val="64C771D3"/>
    <w:rsid w:val="64DB1EEF"/>
    <w:rsid w:val="64EC3114"/>
    <w:rsid w:val="65021E23"/>
    <w:rsid w:val="651E1D55"/>
    <w:rsid w:val="65262108"/>
    <w:rsid w:val="65415087"/>
    <w:rsid w:val="655E3635"/>
    <w:rsid w:val="6567375F"/>
    <w:rsid w:val="658362F7"/>
    <w:rsid w:val="658A7F13"/>
    <w:rsid w:val="659C455A"/>
    <w:rsid w:val="659D45FC"/>
    <w:rsid w:val="65A15B69"/>
    <w:rsid w:val="65A96DA2"/>
    <w:rsid w:val="65BD54C7"/>
    <w:rsid w:val="65C86FB9"/>
    <w:rsid w:val="65CD6F25"/>
    <w:rsid w:val="65DC364A"/>
    <w:rsid w:val="661A6CB0"/>
    <w:rsid w:val="663F4E21"/>
    <w:rsid w:val="664403D4"/>
    <w:rsid w:val="66541DAB"/>
    <w:rsid w:val="66585476"/>
    <w:rsid w:val="666448D3"/>
    <w:rsid w:val="66671C83"/>
    <w:rsid w:val="666A446B"/>
    <w:rsid w:val="666C2620"/>
    <w:rsid w:val="66A519D6"/>
    <w:rsid w:val="66AD3ECC"/>
    <w:rsid w:val="66C75F8D"/>
    <w:rsid w:val="66CA1C5A"/>
    <w:rsid w:val="66CC6091"/>
    <w:rsid w:val="66D179CB"/>
    <w:rsid w:val="66F17421"/>
    <w:rsid w:val="670B57A9"/>
    <w:rsid w:val="670C409B"/>
    <w:rsid w:val="6729176D"/>
    <w:rsid w:val="67827155"/>
    <w:rsid w:val="67873DEC"/>
    <w:rsid w:val="67955176"/>
    <w:rsid w:val="67966EFB"/>
    <w:rsid w:val="67985665"/>
    <w:rsid w:val="67B00A88"/>
    <w:rsid w:val="67BA1594"/>
    <w:rsid w:val="67D649E7"/>
    <w:rsid w:val="67FE56CE"/>
    <w:rsid w:val="681C05D3"/>
    <w:rsid w:val="682C74F5"/>
    <w:rsid w:val="68497E6E"/>
    <w:rsid w:val="68632D68"/>
    <w:rsid w:val="689209E2"/>
    <w:rsid w:val="6898103A"/>
    <w:rsid w:val="689B445B"/>
    <w:rsid w:val="68AC2997"/>
    <w:rsid w:val="68AD4BFA"/>
    <w:rsid w:val="68AD70AF"/>
    <w:rsid w:val="68D51BEB"/>
    <w:rsid w:val="68DA20C1"/>
    <w:rsid w:val="69091BCF"/>
    <w:rsid w:val="69154AC1"/>
    <w:rsid w:val="69193190"/>
    <w:rsid w:val="69202AF2"/>
    <w:rsid w:val="693537AA"/>
    <w:rsid w:val="694054CE"/>
    <w:rsid w:val="69440272"/>
    <w:rsid w:val="695762DF"/>
    <w:rsid w:val="699A04D5"/>
    <w:rsid w:val="69AA7BF5"/>
    <w:rsid w:val="69BB44EA"/>
    <w:rsid w:val="69D843EB"/>
    <w:rsid w:val="69DD2DEF"/>
    <w:rsid w:val="69E11F56"/>
    <w:rsid w:val="69F0096F"/>
    <w:rsid w:val="69F86337"/>
    <w:rsid w:val="6A3E02FD"/>
    <w:rsid w:val="6A5549C7"/>
    <w:rsid w:val="6A5B12CF"/>
    <w:rsid w:val="6A660118"/>
    <w:rsid w:val="6A68470E"/>
    <w:rsid w:val="6A6E3129"/>
    <w:rsid w:val="6A920861"/>
    <w:rsid w:val="6A9A7CCC"/>
    <w:rsid w:val="6AB0330E"/>
    <w:rsid w:val="6ABF5A7C"/>
    <w:rsid w:val="6AC21BF5"/>
    <w:rsid w:val="6ACF68B6"/>
    <w:rsid w:val="6AE15018"/>
    <w:rsid w:val="6AE465BA"/>
    <w:rsid w:val="6AF3285C"/>
    <w:rsid w:val="6B0750AF"/>
    <w:rsid w:val="6B285867"/>
    <w:rsid w:val="6B2A68A8"/>
    <w:rsid w:val="6B2E5B46"/>
    <w:rsid w:val="6B3E5C91"/>
    <w:rsid w:val="6B4C4F4B"/>
    <w:rsid w:val="6B564A55"/>
    <w:rsid w:val="6B5B5EDE"/>
    <w:rsid w:val="6B896181"/>
    <w:rsid w:val="6BB05743"/>
    <w:rsid w:val="6BBD27D2"/>
    <w:rsid w:val="6BC05257"/>
    <w:rsid w:val="6BC92A56"/>
    <w:rsid w:val="6BCC41E1"/>
    <w:rsid w:val="6BD85D34"/>
    <w:rsid w:val="6BD90D9E"/>
    <w:rsid w:val="6BDE247D"/>
    <w:rsid w:val="6BF65092"/>
    <w:rsid w:val="6C1641D7"/>
    <w:rsid w:val="6C182AB1"/>
    <w:rsid w:val="6C200380"/>
    <w:rsid w:val="6C37798C"/>
    <w:rsid w:val="6C635BE6"/>
    <w:rsid w:val="6C832E69"/>
    <w:rsid w:val="6CBB0E6B"/>
    <w:rsid w:val="6CC50F03"/>
    <w:rsid w:val="6D093FCE"/>
    <w:rsid w:val="6D31582E"/>
    <w:rsid w:val="6D505E5E"/>
    <w:rsid w:val="6D9C76F9"/>
    <w:rsid w:val="6DCC20DE"/>
    <w:rsid w:val="6DD37F93"/>
    <w:rsid w:val="6DDF2964"/>
    <w:rsid w:val="6DDF458E"/>
    <w:rsid w:val="6DE01D96"/>
    <w:rsid w:val="6DE70913"/>
    <w:rsid w:val="6DF536FC"/>
    <w:rsid w:val="6E07756A"/>
    <w:rsid w:val="6E0D53FC"/>
    <w:rsid w:val="6E2776F1"/>
    <w:rsid w:val="6E304ABA"/>
    <w:rsid w:val="6E3456ED"/>
    <w:rsid w:val="6E5B669F"/>
    <w:rsid w:val="6E7E36E8"/>
    <w:rsid w:val="6E81690A"/>
    <w:rsid w:val="6E855CFE"/>
    <w:rsid w:val="6E9E0959"/>
    <w:rsid w:val="6EA95E57"/>
    <w:rsid w:val="6EB53AD3"/>
    <w:rsid w:val="6EBA2B6B"/>
    <w:rsid w:val="6EE04B03"/>
    <w:rsid w:val="6F0155A2"/>
    <w:rsid w:val="6F091C4F"/>
    <w:rsid w:val="6F22215C"/>
    <w:rsid w:val="6F290B4A"/>
    <w:rsid w:val="6F3E334A"/>
    <w:rsid w:val="6F3F2905"/>
    <w:rsid w:val="6F8257BA"/>
    <w:rsid w:val="6F825EE6"/>
    <w:rsid w:val="6F98061B"/>
    <w:rsid w:val="6F9B5DFE"/>
    <w:rsid w:val="6FB628A6"/>
    <w:rsid w:val="6FC517FE"/>
    <w:rsid w:val="6FD20F90"/>
    <w:rsid w:val="6FE60FC5"/>
    <w:rsid w:val="6FEC4A27"/>
    <w:rsid w:val="6FF40702"/>
    <w:rsid w:val="6FF928F9"/>
    <w:rsid w:val="6FFD2C03"/>
    <w:rsid w:val="700F6A57"/>
    <w:rsid w:val="702D2A93"/>
    <w:rsid w:val="70395777"/>
    <w:rsid w:val="704841E3"/>
    <w:rsid w:val="704945B9"/>
    <w:rsid w:val="706F2E8C"/>
    <w:rsid w:val="70740EE9"/>
    <w:rsid w:val="70815DC1"/>
    <w:rsid w:val="708E6D70"/>
    <w:rsid w:val="70B800C3"/>
    <w:rsid w:val="70F76F88"/>
    <w:rsid w:val="70FA715F"/>
    <w:rsid w:val="7102625E"/>
    <w:rsid w:val="710E3A78"/>
    <w:rsid w:val="71131EB9"/>
    <w:rsid w:val="711F3CF0"/>
    <w:rsid w:val="71287D59"/>
    <w:rsid w:val="7134516D"/>
    <w:rsid w:val="714632C9"/>
    <w:rsid w:val="714A50BD"/>
    <w:rsid w:val="715522B7"/>
    <w:rsid w:val="715C538C"/>
    <w:rsid w:val="716051EE"/>
    <w:rsid w:val="71752277"/>
    <w:rsid w:val="717610D4"/>
    <w:rsid w:val="71942518"/>
    <w:rsid w:val="719B3E46"/>
    <w:rsid w:val="71BF0E19"/>
    <w:rsid w:val="71D10E12"/>
    <w:rsid w:val="71E71783"/>
    <w:rsid w:val="71F32713"/>
    <w:rsid w:val="71F403EF"/>
    <w:rsid w:val="72047CFF"/>
    <w:rsid w:val="725045A2"/>
    <w:rsid w:val="725A5FED"/>
    <w:rsid w:val="726C0FAD"/>
    <w:rsid w:val="72945805"/>
    <w:rsid w:val="72AB4AD4"/>
    <w:rsid w:val="72B65954"/>
    <w:rsid w:val="72B86D59"/>
    <w:rsid w:val="72C60472"/>
    <w:rsid w:val="72E33AE9"/>
    <w:rsid w:val="73016F14"/>
    <w:rsid w:val="730173B1"/>
    <w:rsid w:val="73100090"/>
    <w:rsid w:val="731B6EDD"/>
    <w:rsid w:val="731E0E3D"/>
    <w:rsid w:val="73245226"/>
    <w:rsid w:val="734664B2"/>
    <w:rsid w:val="73466DD2"/>
    <w:rsid w:val="73683B6B"/>
    <w:rsid w:val="73732F62"/>
    <w:rsid w:val="73972E23"/>
    <w:rsid w:val="73B81C39"/>
    <w:rsid w:val="73C5121A"/>
    <w:rsid w:val="73C83BC4"/>
    <w:rsid w:val="73C93125"/>
    <w:rsid w:val="73E31597"/>
    <w:rsid w:val="73EB0A22"/>
    <w:rsid w:val="73EB33D9"/>
    <w:rsid w:val="73F338A9"/>
    <w:rsid w:val="741C763C"/>
    <w:rsid w:val="74374824"/>
    <w:rsid w:val="744C7FC7"/>
    <w:rsid w:val="745C419B"/>
    <w:rsid w:val="747C30D6"/>
    <w:rsid w:val="747F3564"/>
    <w:rsid w:val="747F4E37"/>
    <w:rsid w:val="748112BE"/>
    <w:rsid w:val="74884070"/>
    <w:rsid w:val="748E4E7E"/>
    <w:rsid w:val="74AD453D"/>
    <w:rsid w:val="74B4621E"/>
    <w:rsid w:val="74BC028D"/>
    <w:rsid w:val="74C563A0"/>
    <w:rsid w:val="74CD1940"/>
    <w:rsid w:val="74E918F1"/>
    <w:rsid w:val="751328A0"/>
    <w:rsid w:val="75203089"/>
    <w:rsid w:val="75280523"/>
    <w:rsid w:val="752D12B7"/>
    <w:rsid w:val="7549129D"/>
    <w:rsid w:val="756A6189"/>
    <w:rsid w:val="75715298"/>
    <w:rsid w:val="757363E0"/>
    <w:rsid w:val="757D0C02"/>
    <w:rsid w:val="759A26A3"/>
    <w:rsid w:val="759E7A98"/>
    <w:rsid w:val="75B22447"/>
    <w:rsid w:val="75B55CF5"/>
    <w:rsid w:val="75C26904"/>
    <w:rsid w:val="75CC5190"/>
    <w:rsid w:val="75CD0AA9"/>
    <w:rsid w:val="75CD6E4D"/>
    <w:rsid w:val="75D565D0"/>
    <w:rsid w:val="75D826DB"/>
    <w:rsid w:val="75ED1E11"/>
    <w:rsid w:val="75F86A99"/>
    <w:rsid w:val="76036B8A"/>
    <w:rsid w:val="764E44D2"/>
    <w:rsid w:val="76585052"/>
    <w:rsid w:val="76905D65"/>
    <w:rsid w:val="769721B1"/>
    <w:rsid w:val="76A0331A"/>
    <w:rsid w:val="76A25197"/>
    <w:rsid w:val="76A84DEC"/>
    <w:rsid w:val="76AA12D5"/>
    <w:rsid w:val="76B963D1"/>
    <w:rsid w:val="76D92154"/>
    <w:rsid w:val="76FF05E5"/>
    <w:rsid w:val="77217EBA"/>
    <w:rsid w:val="772E0D5C"/>
    <w:rsid w:val="774C30C1"/>
    <w:rsid w:val="77644B55"/>
    <w:rsid w:val="777234E1"/>
    <w:rsid w:val="77725A0C"/>
    <w:rsid w:val="77746F3B"/>
    <w:rsid w:val="777C7469"/>
    <w:rsid w:val="779F352E"/>
    <w:rsid w:val="77AD44FC"/>
    <w:rsid w:val="77AE7004"/>
    <w:rsid w:val="77B15879"/>
    <w:rsid w:val="77D70E3B"/>
    <w:rsid w:val="77F25FE7"/>
    <w:rsid w:val="781C29C7"/>
    <w:rsid w:val="783A5A69"/>
    <w:rsid w:val="785C0039"/>
    <w:rsid w:val="786D3573"/>
    <w:rsid w:val="78A101FD"/>
    <w:rsid w:val="78C14D3B"/>
    <w:rsid w:val="792063A1"/>
    <w:rsid w:val="792E2FEC"/>
    <w:rsid w:val="793F116D"/>
    <w:rsid w:val="79537A8C"/>
    <w:rsid w:val="795A65DA"/>
    <w:rsid w:val="79762E76"/>
    <w:rsid w:val="797B0D3E"/>
    <w:rsid w:val="797B7F48"/>
    <w:rsid w:val="79B35D81"/>
    <w:rsid w:val="79B857FA"/>
    <w:rsid w:val="79C83022"/>
    <w:rsid w:val="79CC4F0D"/>
    <w:rsid w:val="79DB75B4"/>
    <w:rsid w:val="7A0B4C76"/>
    <w:rsid w:val="7A0B785D"/>
    <w:rsid w:val="7A0C4FFE"/>
    <w:rsid w:val="7A291112"/>
    <w:rsid w:val="7A4B1FE5"/>
    <w:rsid w:val="7A5772CC"/>
    <w:rsid w:val="7A6A0EFC"/>
    <w:rsid w:val="7AB56733"/>
    <w:rsid w:val="7ABF2208"/>
    <w:rsid w:val="7ACE6112"/>
    <w:rsid w:val="7ADD6D06"/>
    <w:rsid w:val="7AE52783"/>
    <w:rsid w:val="7AF0449A"/>
    <w:rsid w:val="7AF557CA"/>
    <w:rsid w:val="7B320A61"/>
    <w:rsid w:val="7B3273C0"/>
    <w:rsid w:val="7B4460ED"/>
    <w:rsid w:val="7B4C7428"/>
    <w:rsid w:val="7B950DD0"/>
    <w:rsid w:val="7B996477"/>
    <w:rsid w:val="7BB01AE6"/>
    <w:rsid w:val="7BC3074D"/>
    <w:rsid w:val="7BC54BB1"/>
    <w:rsid w:val="7BEB28EC"/>
    <w:rsid w:val="7BF15E6E"/>
    <w:rsid w:val="7C1C6331"/>
    <w:rsid w:val="7C292552"/>
    <w:rsid w:val="7C294A10"/>
    <w:rsid w:val="7C3C23F0"/>
    <w:rsid w:val="7C421CDB"/>
    <w:rsid w:val="7C4C57D0"/>
    <w:rsid w:val="7C5032F6"/>
    <w:rsid w:val="7C51183D"/>
    <w:rsid w:val="7C5E4034"/>
    <w:rsid w:val="7C733CE8"/>
    <w:rsid w:val="7C8A6459"/>
    <w:rsid w:val="7CAE449F"/>
    <w:rsid w:val="7CB828E1"/>
    <w:rsid w:val="7CC06C40"/>
    <w:rsid w:val="7CC304E1"/>
    <w:rsid w:val="7CC6125D"/>
    <w:rsid w:val="7CD06C62"/>
    <w:rsid w:val="7CE2044C"/>
    <w:rsid w:val="7CEC4141"/>
    <w:rsid w:val="7CF47AAA"/>
    <w:rsid w:val="7D026169"/>
    <w:rsid w:val="7D22553A"/>
    <w:rsid w:val="7D341140"/>
    <w:rsid w:val="7D4A37F1"/>
    <w:rsid w:val="7D536492"/>
    <w:rsid w:val="7D9A5636"/>
    <w:rsid w:val="7DA95854"/>
    <w:rsid w:val="7DAD0FC9"/>
    <w:rsid w:val="7DB05CF2"/>
    <w:rsid w:val="7DB834ED"/>
    <w:rsid w:val="7DF540E8"/>
    <w:rsid w:val="7DF60EC4"/>
    <w:rsid w:val="7E1A4EF0"/>
    <w:rsid w:val="7E293637"/>
    <w:rsid w:val="7E3E2073"/>
    <w:rsid w:val="7E3F24A9"/>
    <w:rsid w:val="7E4C314A"/>
    <w:rsid w:val="7E5E6208"/>
    <w:rsid w:val="7E600F72"/>
    <w:rsid w:val="7E6D79BF"/>
    <w:rsid w:val="7E6E7C34"/>
    <w:rsid w:val="7E766B80"/>
    <w:rsid w:val="7E7F10C4"/>
    <w:rsid w:val="7E893FBB"/>
    <w:rsid w:val="7E9B79AC"/>
    <w:rsid w:val="7EB65A09"/>
    <w:rsid w:val="7EC11FD7"/>
    <w:rsid w:val="7ED5127E"/>
    <w:rsid w:val="7EDA01CE"/>
    <w:rsid w:val="7EF06FF6"/>
    <w:rsid w:val="7EF56D9F"/>
    <w:rsid w:val="7F256A1C"/>
    <w:rsid w:val="7F361BE8"/>
    <w:rsid w:val="7F393977"/>
    <w:rsid w:val="7F7B5725"/>
    <w:rsid w:val="7F943307"/>
    <w:rsid w:val="7F960857"/>
    <w:rsid w:val="7F9834A2"/>
    <w:rsid w:val="7FA245F8"/>
    <w:rsid w:val="7FAD30D6"/>
    <w:rsid w:val="7FB73BBC"/>
    <w:rsid w:val="7FCE5610"/>
    <w:rsid w:val="7FE6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80"/>
    <w:autoRedefine/>
    <w:qFormat/>
    <w:uiPriority w:val="0"/>
    <w:pPr>
      <w:keepNext/>
      <w:keepLines/>
      <w:spacing w:after="50" w:afterLines="50"/>
      <w:ind w:left="-100" w:leftChars="-100" w:firstLine="200" w:firstLineChars="200"/>
      <w:outlineLvl w:val="1"/>
    </w:pPr>
    <w:rPr>
      <w:rFonts w:ascii="Arial" w:hAnsi="Arial"/>
      <w:b/>
      <w:bCs/>
      <w:sz w:val="28"/>
      <w:szCs w:val="32"/>
    </w:rPr>
  </w:style>
  <w:style w:type="paragraph" w:styleId="4">
    <w:name w:val="heading 3"/>
    <w:basedOn w:val="1"/>
    <w:next w:val="1"/>
    <w:link w:val="81"/>
    <w:autoRedefine/>
    <w:qFormat/>
    <w:uiPriority w:val="0"/>
    <w:pPr>
      <w:keepNext/>
      <w:keepLines/>
      <w:spacing w:after="50" w:afterLines="50"/>
      <w:outlineLvl w:val="2"/>
    </w:pPr>
    <w:rPr>
      <w:b/>
      <w:bCs/>
      <w:sz w:val="24"/>
      <w:szCs w:val="32"/>
    </w:rPr>
  </w:style>
  <w:style w:type="paragraph" w:styleId="5">
    <w:name w:val="heading 4"/>
    <w:basedOn w:val="1"/>
    <w:next w:val="1"/>
    <w:link w:val="82"/>
    <w:autoRedefine/>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83"/>
    <w:autoRedefine/>
    <w:qFormat/>
    <w:uiPriority w:val="0"/>
    <w:pPr>
      <w:keepNext/>
      <w:keepLines/>
      <w:spacing w:before="280" w:after="290" w:line="376" w:lineRule="auto"/>
      <w:outlineLvl w:val="4"/>
    </w:pPr>
    <w:rPr>
      <w:b/>
      <w:bCs/>
      <w:kern w:val="0"/>
      <w:sz w:val="28"/>
      <w:szCs w:val="28"/>
    </w:rPr>
  </w:style>
  <w:style w:type="paragraph" w:styleId="7">
    <w:name w:val="heading 6"/>
    <w:basedOn w:val="1"/>
    <w:next w:val="8"/>
    <w:link w:val="84"/>
    <w:autoRedefine/>
    <w:qFormat/>
    <w:uiPriority w:val="0"/>
    <w:pPr>
      <w:keepNext/>
      <w:keepLines/>
      <w:spacing w:before="240" w:after="64" w:line="320" w:lineRule="auto"/>
      <w:outlineLvl w:val="5"/>
    </w:pPr>
    <w:rPr>
      <w:rFonts w:ascii="Arial" w:hAnsi="Arial" w:eastAsia="黑体"/>
      <w:b/>
      <w:kern w:val="0"/>
      <w:sz w:val="24"/>
      <w:szCs w:val="20"/>
    </w:rPr>
  </w:style>
  <w:style w:type="paragraph" w:styleId="9">
    <w:name w:val="heading 7"/>
    <w:basedOn w:val="1"/>
    <w:next w:val="8"/>
    <w:link w:val="86"/>
    <w:autoRedefine/>
    <w:qFormat/>
    <w:uiPriority w:val="0"/>
    <w:pPr>
      <w:keepNext/>
      <w:keepLines/>
      <w:spacing w:before="240" w:after="64" w:line="320" w:lineRule="auto"/>
      <w:outlineLvl w:val="6"/>
    </w:pPr>
    <w:rPr>
      <w:b/>
      <w:kern w:val="0"/>
      <w:sz w:val="24"/>
      <w:szCs w:val="20"/>
    </w:rPr>
  </w:style>
  <w:style w:type="paragraph" w:styleId="10">
    <w:name w:val="heading 8"/>
    <w:basedOn w:val="1"/>
    <w:next w:val="8"/>
    <w:link w:val="87"/>
    <w:autoRedefine/>
    <w:qFormat/>
    <w:uiPriority w:val="0"/>
    <w:pPr>
      <w:keepNext/>
      <w:keepLines/>
      <w:spacing w:before="240" w:after="64" w:line="320" w:lineRule="auto"/>
      <w:outlineLvl w:val="7"/>
    </w:pPr>
    <w:rPr>
      <w:rFonts w:ascii="Arial" w:hAnsi="Arial" w:eastAsia="黑体"/>
      <w:kern w:val="0"/>
      <w:sz w:val="24"/>
      <w:szCs w:val="20"/>
    </w:rPr>
  </w:style>
  <w:style w:type="paragraph" w:styleId="11">
    <w:name w:val="heading 9"/>
    <w:basedOn w:val="1"/>
    <w:next w:val="8"/>
    <w:link w:val="88"/>
    <w:autoRedefine/>
    <w:qFormat/>
    <w:uiPriority w:val="0"/>
    <w:pPr>
      <w:keepNext/>
      <w:keepLines/>
      <w:spacing w:before="240" w:after="64" w:line="320" w:lineRule="auto"/>
      <w:outlineLvl w:val="8"/>
    </w:pPr>
    <w:rPr>
      <w:rFonts w:ascii="Arial" w:hAnsi="Arial" w:eastAsia="黑体"/>
      <w:kern w:val="0"/>
      <w:sz w:val="20"/>
      <w:szCs w:val="20"/>
    </w:rPr>
  </w:style>
  <w:style w:type="character" w:default="1" w:styleId="70">
    <w:name w:val="Default Paragraph Font"/>
    <w:autoRedefine/>
    <w:semiHidden/>
    <w:unhideWhenUsed/>
    <w:qFormat/>
    <w:uiPriority w:val="1"/>
  </w:style>
  <w:style w:type="table" w:default="1" w:styleId="68">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link w:val="85"/>
    <w:autoRedefine/>
    <w:qFormat/>
    <w:uiPriority w:val="0"/>
    <w:pPr>
      <w:autoSpaceDE w:val="0"/>
      <w:autoSpaceDN w:val="0"/>
      <w:spacing w:line="360" w:lineRule="auto"/>
      <w:ind w:left="181" w:firstLine="420"/>
    </w:pPr>
    <w:rPr>
      <w:kern w:val="0"/>
      <w:sz w:val="24"/>
      <w:szCs w:val="20"/>
    </w:rPr>
  </w:style>
  <w:style w:type="paragraph" w:styleId="12">
    <w:name w:val="List 3"/>
    <w:basedOn w:val="1"/>
    <w:autoRedefine/>
    <w:qFormat/>
    <w:uiPriority w:val="0"/>
    <w:pPr>
      <w:ind w:left="100" w:leftChars="400" w:hanging="200" w:hangingChars="200"/>
    </w:pPr>
  </w:style>
  <w:style w:type="paragraph" w:styleId="13">
    <w:name w:val="toc 7"/>
    <w:basedOn w:val="1"/>
    <w:next w:val="1"/>
    <w:autoRedefine/>
    <w:qFormat/>
    <w:uiPriority w:val="0"/>
    <w:pPr>
      <w:ind w:left="1260"/>
      <w:jc w:val="left"/>
    </w:pPr>
    <w:rPr>
      <w:szCs w:val="21"/>
    </w:rPr>
  </w:style>
  <w:style w:type="paragraph" w:styleId="14">
    <w:name w:val="table of authorities"/>
    <w:basedOn w:val="1"/>
    <w:next w:val="1"/>
    <w:autoRedefine/>
    <w:qFormat/>
    <w:uiPriority w:val="0"/>
    <w:pPr>
      <w:ind w:left="210" w:hanging="210"/>
      <w:jc w:val="left"/>
    </w:pPr>
    <w:rPr>
      <w:sz w:val="20"/>
      <w:szCs w:val="20"/>
    </w:rPr>
  </w:style>
  <w:style w:type="paragraph" w:styleId="15">
    <w:name w:val="index 8"/>
    <w:basedOn w:val="1"/>
    <w:next w:val="1"/>
    <w:autoRedefine/>
    <w:qFormat/>
    <w:uiPriority w:val="0"/>
    <w:pPr>
      <w:ind w:left="1680" w:hanging="210"/>
      <w:jc w:val="left"/>
    </w:pPr>
    <w:rPr>
      <w:sz w:val="18"/>
      <w:szCs w:val="18"/>
    </w:rPr>
  </w:style>
  <w:style w:type="paragraph" w:styleId="16">
    <w:name w:val="caption"/>
    <w:basedOn w:val="1"/>
    <w:next w:val="1"/>
    <w:autoRedefine/>
    <w:qFormat/>
    <w:uiPriority w:val="0"/>
    <w:pPr>
      <w:spacing w:before="152" w:after="160"/>
    </w:pPr>
    <w:rPr>
      <w:rFonts w:ascii="Arial" w:hAnsi="Arial" w:eastAsia="黑体" w:cs="Arial"/>
      <w:sz w:val="20"/>
      <w:szCs w:val="20"/>
    </w:rPr>
  </w:style>
  <w:style w:type="paragraph" w:styleId="17">
    <w:name w:val="index 5"/>
    <w:basedOn w:val="1"/>
    <w:next w:val="1"/>
    <w:autoRedefine/>
    <w:qFormat/>
    <w:uiPriority w:val="0"/>
    <w:pPr>
      <w:ind w:left="1050" w:hanging="210"/>
      <w:jc w:val="left"/>
    </w:pPr>
    <w:rPr>
      <w:sz w:val="18"/>
      <w:szCs w:val="18"/>
    </w:rPr>
  </w:style>
  <w:style w:type="paragraph" w:styleId="18">
    <w:name w:val="List Bullet"/>
    <w:basedOn w:val="1"/>
    <w:autoRedefine/>
    <w:qFormat/>
    <w:uiPriority w:val="0"/>
    <w:pPr>
      <w:tabs>
        <w:tab w:val="left" w:pos="360"/>
      </w:tabs>
      <w:ind w:left="360" w:hanging="360"/>
    </w:pPr>
    <w:rPr>
      <w:szCs w:val="20"/>
    </w:rPr>
  </w:style>
  <w:style w:type="paragraph" w:styleId="19">
    <w:name w:val="Document Map"/>
    <w:basedOn w:val="1"/>
    <w:link w:val="89"/>
    <w:autoRedefine/>
    <w:qFormat/>
    <w:uiPriority w:val="0"/>
    <w:pPr>
      <w:shd w:val="clear" w:color="auto" w:fill="000080"/>
    </w:pPr>
    <w:rPr>
      <w:kern w:val="0"/>
      <w:sz w:val="20"/>
    </w:rPr>
  </w:style>
  <w:style w:type="paragraph" w:styleId="20">
    <w:name w:val="toa heading"/>
    <w:basedOn w:val="1"/>
    <w:next w:val="1"/>
    <w:autoRedefine/>
    <w:qFormat/>
    <w:uiPriority w:val="0"/>
    <w:pPr>
      <w:spacing w:before="120"/>
    </w:pPr>
    <w:rPr>
      <w:rFonts w:ascii="Arial" w:hAnsi="Arial" w:cs="Arial"/>
      <w:sz w:val="24"/>
    </w:rPr>
  </w:style>
  <w:style w:type="paragraph" w:styleId="21">
    <w:name w:val="annotation text"/>
    <w:basedOn w:val="1"/>
    <w:link w:val="90"/>
    <w:autoRedefine/>
    <w:qFormat/>
    <w:uiPriority w:val="0"/>
    <w:pPr>
      <w:jc w:val="left"/>
    </w:pPr>
    <w:rPr>
      <w:rFonts w:eastAsia="仿宋_GB2312"/>
      <w:kern w:val="0"/>
      <w:sz w:val="30"/>
      <w:szCs w:val="20"/>
    </w:rPr>
  </w:style>
  <w:style w:type="paragraph" w:styleId="22">
    <w:name w:val="index 6"/>
    <w:next w:val="1"/>
    <w:autoRedefine/>
    <w:qFormat/>
    <w:uiPriority w:val="0"/>
    <w:pPr>
      <w:jc w:val="both"/>
    </w:pPr>
    <w:rPr>
      <w:rFonts w:ascii="Times New Roman" w:hAnsi="Times New Roman" w:eastAsia="宋体" w:cs="Times New Roman"/>
      <w:sz w:val="21"/>
      <w:lang w:val="en-US" w:eastAsia="zh-CN" w:bidi="ar-SA"/>
    </w:rPr>
  </w:style>
  <w:style w:type="paragraph" w:styleId="23">
    <w:name w:val="Salutation"/>
    <w:basedOn w:val="1"/>
    <w:next w:val="1"/>
    <w:link w:val="91"/>
    <w:autoRedefine/>
    <w:qFormat/>
    <w:uiPriority w:val="0"/>
  </w:style>
  <w:style w:type="paragraph" w:styleId="24">
    <w:name w:val="Body Text 3"/>
    <w:basedOn w:val="1"/>
    <w:link w:val="92"/>
    <w:autoRedefine/>
    <w:qFormat/>
    <w:uiPriority w:val="0"/>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jc w:val="center"/>
      <w:textAlignment w:val="baseline"/>
    </w:pPr>
    <w:rPr>
      <w:rFonts w:ascii="仿宋_GB2312" w:eastAsia="仿宋_GB2312"/>
      <w:kern w:val="0"/>
      <w:sz w:val="20"/>
      <w:szCs w:val="20"/>
    </w:rPr>
  </w:style>
  <w:style w:type="paragraph" w:styleId="25">
    <w:name w:val="Body Text"/>
    <w:basedOn w:val="1"/>
    <w:link w:val="93"/>
    <w:autoRedefine/>
    <w:qFormat/>
    <w:uiPriority w:val="0"/>
    <w:pPr>
      <w:spacing w:after="120"/>
    </w:pPr>
    <w:rPr>
      <w:kern w:val="0"/>
      <w:sz w:val="20"/>
    </w:rPr>
  </w:style>
  <w:style w:type="paragraph" w:styleId="26">
    <w:name w:val="Body Text Indent"/>
    <w:basedOn w:val="1"/>
    <w:link w:val="94"/>
    <w:autoRedefine/>
    <w:qFormat/>
    <w:uiPriority w:val="0"/>
    <w:pPr>
      <w:spacing w:line="360" w:lineRule="auto"/>
      <w:ind w:firstLine="675" w:firstLineChars="268"/>
    </w:pPr>
    <w:rPr>
      <w:rFonts w:ascii="新宋体" w:hAnsi="新宋体" w:eastAsia="新宋体"/>
      <w:kern w:val="0"/>
      <w:sz w:val="28"/>
      <w:szCs w:val="20"/>
    </w:rPr>
  </w:style>
  <w:style w:type="paragraph" w:styleId="27">
    <w:name w:val="List 2"/>
    <w:basedOn w:val="1"/>
    <w:autoRedefine/>
    <w:qFormat/>
    <w:uiPriority w:val="0"/>
    <w:pPr>
      <w:jc w:val="center"/>
    </w:pPr>
    <w:rPr>
      <w:rFonts w:ascii="宋体"/>
      <w:sz w:val="24"/>
      <w:szCs w:val="20"/>
    </w:rPr>
  </w:style>
  <w:style w:type="paragraph" w:styleId="28">
    <w:name w:val="Block Text"/>
    <w:basedOn w:val="1"/>
    <w:autoRedefine/>
    <w:qFormat/>
    <w:uiPriority w:val="0"/>
    <w:pPr>
      <w:tabs>
        <w:tab w:val="left" w:pos="3420"/>
      </w:tabs>
      <w:spacing w:line="360" w:lineRule="auto"/>
      <w:ind w:left="420" w:right="6478" w:rightChars="3085"/>
    </w:pPr>
    <w:rPr>
      <w:rFonts w:ascii="宋体" w:hAnsi="宋体"/>
      <w:sz w:val="24"/>
    </w:rPr>
  </w:style>
  <w:style w:type="paragraph" w:styleId="29">
    <w:name w:val="List Bullet 2"/>
    <w:basedOn w:val="18"/>
    <w:autoRedefine/>
    <w:qFormat/>
    <w:uiPriority w:val="0"/>
    <w:pPr>
      <w:widowControl/>
      <w:tabs>
        <w:tab w:val="left" w:pos="425"/>
      </w:tabs>
      <w:spacing w:after="220" w:line="220" w:lineRule="atLeast"/>
      <w:ind w:left="2160" w:right="720" w:hanging="425"/>
      <w:jc w:val="left"/>
    </w:pPr>
    <w:rPr>
      <w:kern w:val="0"/>
    </w:rPr>
  </w:style>
  <w:style w:type="paragraph" w:styleId="30">
    <w:name w:val="index 4"/>
    <w:basedOn w:val="1"/>
    <w:next w:val="1"/>
    <w:autoRedefine/>
    <w:qFormat/>
    <w:uiPriority w:val="0"/>
    <w:pPr>
      <w:ind w:left="840" w:hanging="210"/>
      <w:jc w:val="left"/>
    </w:pPr>
    <w:rPr>
      <w:sz w:val="18"/>
      <w:szCs w:val="18"/>
    </w:rPr>
  </w:style>
  <w:style w:type="paragraph" w:styleId="31">
    <w:name w:val="toc 5"/>
    <w:basedOn w:val="1"/>
    <w:next w:val="1"/>
    <w:autoRedefine/>
    <w:qFormat/>
    <w:uiPriority w:val="0"/>
    <w:pPr>
      <w:ind w:left="840"/>
      <w:jc w:val="left"/>
    </w:pPr>
    <w:rPr>
      <w:szCs w:val="21"/>
    </w:rPr>
  </w:style>
  <w:style w:type="paragraph" w:styleId="32">
    <w:name w:val="toc 3"/>
    <w:basedOn w:val="1"/>
    <w:next w:val="1"/>
    <w:autoRedefine/>
    <w:qFormat/>
    <w:uiPriority w:val="39"/>
    <w:pPr>
      <w:tabs>
        <w:tab w:val="right" w:leader="dot" w:pos="9027"/>
      </w:tabs>
      <w:ind w:left="840" w:hanging="840" w:hangingChars="400"/>
    </w:pPr>
    <w:rPr>
      <w:rFonts w:ascii="MS Gothic" w:hAnsi="MS Gothic" w:eastAsia="MS Gothic"/>
    </w:rPr>
  </w:style>
  <w:style w:type="paragraph" w:styleId="33">
    <w:name w:val="Plain Text"/>
    <w:basedOn w:val="1"/>
    <w:link w:val="95"/>
    <w:autoRedefine/>
    <w:qFormat/>
    <w:uiPriority w:val="0"/>
    <w:rPr>
      <w:rFonts w:ascii="宋体" w:hAnsi="Courier New"/>
      <w:kern w:val="0"/>
      <w:sz w:val="20"/>
      <w:szCs w:val="20"/>
    </w:rPr>
  </w:style>
  <w:style w:type="paragraph" w:styleId="34">
    <w:name w:val="toc 8"/>
    <w:basedOn w:val="1"/>
    <w:next w:val="1"/>
    <w:autoRedefine/>
    <w:qFormat/>
    <w:uiPriority w:val="0"/>
    <w:pPr>
      <w:ind w:left="1470"/>
      <w:jc w:val="left"/>
    </w:pPr>
    <w:rPr>
      <w:szCs w:val="21"/>
    </w:rPr>
  </w:style>
  <w:style w:type="paragraph" w:styleId="35">
    <w:name w:val="index 3"/>
    <w:basedOn w:val="1"/>
    <w:next w:val="1"/>
    <w:autoRedefine/>
    <w:qFormat/>
    <w:uiPriority w:val="0"/>
    <w:pPr>
      <w:ind w:left="630" w:hanging="210"/>
      <w:jc w:val="left"/>
    </w:pPr>
    <w:rPr>
      <w:sz w:val="18"/>
      <w:szCs w:val="18"/>
    </w:rPr>
  </w:style>
  <w:style w:type="paragraph" w:styleId="36">
    <w:name w:val="Date"/>
    <w:basedOn w:val="1"/>
    <w:next w:val="1"/>
    <w:link w:val="96"/>
    <w:autoRedefine/>
    <w:qFormat/>
    <w:uiPriority w:val="0"/>
    <w:pPr>
      <w:widowControl/>
    </w:pPr>
    <w:rPr>
      <w:rFonts w:ascii="宋体"/>
      <w:kern w:val="0"/>
      <w:sz w:val="20"/>
      <w:szCs w:val="20"/>
    </w:rPr>
  </w:style>
  <w:style w:type="paragraph" w:styleId="37">
    <w:name w:val="Body Text Indent 2"/>
    <w:basedOn w:val="1"/>
    <w:link w:val="97"/>
    <w:autoRedefine/>
    <w:qFormat/>
    <w:uiPriority w:val="0"/>
    <w:pPr>
      <w:spacing w:line="300" w:lineRule="auto"/>
      <w:ind w:firstLine="386" w:firstLineChars="200"/>
    </w:pPr>
    <w:rPr>
      <w:kern w:val="0"/>
      <w:sz w:val="20"/>
    </w:rPr>
  </w:style>
  <w:style w:type="paragraph" w:styleId="38">
    <w:name w:val="endnote text"/>
    <w:basedOn w:val="1"/>
    <w:link w:val="98"/>
    <w:autoRedefine/>
    <w:qFormat/>
    <w:uiPriority w:val="0"/>
    <w:pPr>
      <w:snapToGrid w:val="0"/>
      <w:jc w:val="left"/>
    </w:pPr>
    <w:rPr>
      <w:kern w:val="0"/>
      <w:sz w:val="20"/>
    </w:rPr>
  </w:style>
  <w:style w:type="paragraph" w:styleId="39">
    <w:name w:val="Balloon Text"/>
    <w:basedOn w:val="1"/>
    <w:link w:val="99"/>
    <w:autoRedefine/>
    <w:qFormat/>
    <w:uiPriority w:val="0"/>
    <w:rPr>
      <w:kern w:val="0"/>
      <w:sz w:val="18"/>
      <w:szCs w:val="18"/>
    </w:rPr>
  </w:style>
  <w:style w:type="paragraph" w:styleId="40">
    <w:name w:val="footer"/>
    <w:basedOn w:val="1"/>
    <w:link w:val="100"/>
    <w:autoRedefine/>
    <w:unhideWhenUsed/>
    <w:qFormat/>
    <w:uiPriority w:val="99"/>
    <w:pPr>
      <w:tabs>
        <w:tab w:val="center" w:pos="4153"/>
        <w:tab w:val="right" w:pos="8306"/>
      </w:tabs>
      <w:snapToGrid w:val="0"/>
      <w:jc w:val="left"/>
    </w:pPr>
    <w:rPr>
      <w:kern w:val="0"/>
      <w:sz w:val="18"/>
      <w:szCs w:val="18"/>
    </w:rPr>
  </w:style>
  <w:style w:type="paragraph" w:styleId="41">
    <w:name w:val="header"/>
    <w:basedOn w:val="1"/>
    <w:link w:val="101"/>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2">
    <w:name w:val="Signature"/>
    <w:basedOn w:val="1"/>
    <w:link w:val="102"/>
    <w:autoRedefine/>
    <w:qFormat/>
    <w:uiPriority w:val="0"/>
    <w:pPr>
      <w:ind w:left="4320"/>
    </w:pPr>
    <w:rPr>
      <w:rFonts w:eastAsia="楷体_GB2312"/>
      <w:kern w:val="0"/>
      <w:sz w:val="20"/>
      <w:szCs w:val="20"/>
    </w:rPr>
  </w:style>
  <w:style w:type="paragraph" w:styleId="43">
    <w:name w:val="toc 1"/>
    <w:basedOn w:val="1"/>
    <w:next w:val="1"/>
    <w:autoRedefine/>
    <w:qFormat/>
    <w:uiPriority w:val="39"/>
    <w:pPr>
      <w:tabs>
        <w:tab w:val="right" w:leader="dot" w:pos="9680"/>
      </w:tabs>
      <w:spacing w:line="500" w:lineRule="exact"/>
      <w:jc w:val="left"/>
    </w:pPr>
  </w:style>
  <w:style w:type="paragraph" w:styleId="44">
    <w:name w:val="toc 4"/>
    <w:basedOn w:val="1"/>
    <w:next w:val="1"/>
    <w:autoRedefine/>
    <w:qFormat/>
    <w:uiPriority w:val="0"/>
    <w:pPr>
      <w:ind w:left="630"/>
      <w:jc w:val="left"/>
    </w:pPr>
    <w:rPr>
      <w:szCs w:val="21"/>
    </w:rPr>
  </w:style>
  <w:style w:type="paragraph" w:styleId="45">
    <w:name w:val="index heading"/>
    <w:basedOn w:val="1"/>
    <w:next w:val="46"/>
    <w:autoRedefine/>
    <w:semiHidden/>
    <w:qFormat/>
    <w:uiPriority w:val="0"/>
    <w:pPr>
      <w:spacing w:line="360" w:lineRule="auto"/>
      <w:ind w:firstLine="482"/>
    </w:pPr>
    <w:rPr>
      <w:rFonts w:ascii="Footlight MT Light" w:hAnsi="Footlight MT Light"/>
      <w:sz w:val="24"/>
      <w:szCs w:val="20"/>
    </w:rPr>
  </w:style>
  <w:style w:type="paragraph" w:styleId="46">
    <w:name w:val="index 1"/>
    <w:basedOn w:val="1"/>
    <w:next w:val="1"/>
    <w:autoRedefine/>
    <w:semiHidden/>
    <w:qFormat/>
    <w:uiPriority w:val="0"/>
    <w:pPr>
      <w:spacing w:line="360" w:lineRule="auto"/>
    </w:pPr>
    <w:rPr>
      <w:sz w:val="24"/>
    </w:rPr>
  </w:style>
  <w:style w:type="paragraph" w:styleId="47">
    <w:name w:val="Subtitle"/>
    <w:basedOn w:val="1"/>
    <w:next w:val="1"/>
    <w:link w:val="103"/>
    <w:autoRedefine/>
    <w:qFormat/>
    <w:uiPriority w:val="0"/>
    <w:pPr>
      <w:spacing w:before="240" w:after="60" w:line="312" w:lineRule="auto"/>
      <w:jc w:val="center"/>
      <w:outlineLvl w:val="1"/>
    </w:pPr>
    <w:rPr>
      <w:rFonts w:ascii="Cambria" w:hAnsi="Cambria"/>
      <w:b/>
      <w:bCs/>
      <w:kern w:val="28"/>
      <w:sz w:val="32"/>
      <w:szCs w:val="32"/>
    </w:rPr>
  </w:style>
  <w:style w:type="paragraph" w:styleId="48">
    <w:name w:val="List"/>
    <w:basedOn w:val="1"/>
    <w:autoRedefine/>
    <w:qFormat/>
    <w:uiPriority w:val="0"/>
    <w:pPr>
      <w:ind w:left="200" w:hanging="200" w:hangingChars="200"/>
    </w:pPr>
  </w:style>
  <w:style w:type="paragraph" w:styleId="49">
    <w:name w:val="footnote text"/>
    <w:basedOn w:val="1"/>
    <w:link w:val="104"/>
    <w:autoRedefine/>
    <w:qFormat/>
    <w:uiPriority w:val="0"/>
    <w:pPr>
      <w:snapToGrid w:val="0"/>
      <w:jc w:val="left"/>
    </w:pPr>
    <w:rPr>
      <w:kern w:val="0"/>
      <w:sz w:val="18"/>
      <w:szCs w:val="20"/>
    </w:rPr>
  </w:style>
  <w:style w:type="paragraph" w:styleId="50">
    <w:name w:val="toc 6"/>
    <w:basedOn w:val="1"/>
    <w:next w:val="1"/>
    <w:autoRedefine/>
    <w:qFormat/>
    <w:uiPriority w:val="0"/>
    <w:pPr>
      <w:ind w:left="1050"/>
      <w:jc w:val="left"/>
    </w:pPr>
    <w:rPr>
      <w:szCs w:val="21"/>
    </w:rPr>
  </w:style>
  <w:style w:type="paragraph" w:styleId="51">
    <w:name w:val="List 5"/>
    <w:basedOn w:val="1"/>
    <w:autoRedefine/>
    <w:qFormat/>
    <w:uiPriority w:val="0"/>
    <w:pPr>
      <w:ind w:left="100" w:leftChars="800" w:hanging="200" w:hangingChars="200"/>
    </w:pPr>
  </w:style>
  <w:style w:type="paragraph" w:styleId="52">
    <w:name w:val="Body Text Indent 3"/>
    <w:basedOn w:val="1"/>
    <w:link w:val="105"/>
    <w:autoRedefine/>
    <w:qFormat/>
    <w:uiPriority w:val="0"/>
    <w:pPr>
      <w:spacing w:beforeLines="50" w:line="360" w:lineRule="auto"/>
      <w:ind w:firstLine="446" w:firstLineChars="200"/>
    </w:pPr>
    <w:rPr>
      <w:rFonts w:ascii="新宋体" w:hAnsi="新宋体" w:eastAsia="新宋体"/>
      <w:kern w:val="0"/>
      <w:sz w:val="24"/>
    </w:rPr>
  </w:style>
  <w:style w:type="paragraph" w:styleId="53">
    <w:name w:val="index 7"/>
    <w:basedOn w:val="1"/>
    <w:next w:val="1"/>
    <w:autoRedefine/>
    <w:qFormat/>
    <w:uiPriority w:val="0"/>
    <w:pPr>
      <w:ind w:left="1200" w:leftChars="1200"/>
    </w:pPr>
  </w:style>
  <w:style w:type="paragraph" w:styleId="54">
    <w:name w:val="index 9"/>
    <w:basedOn w:val="1"/>
    <w:next w:val="1"/>
    <w:autoRedefine/>
    <w:qFormat/>
    <w:uiPriority w:val="0"/>
    <w:pPr>
      <w:ind w:left="1890" w:hanging="210"/>
      <w:jc w:val="left"/>
    </w:pPr>
    <w:rPr>
      <w:sz w:val="18"/>
      <w:szCs w:val="18"/>
    </w:rPr>
  </w:style>
  <w:style w:type="paragraph" w:styleId="55">
    <w:name w:val="table of figures"/>
    <w:basedOn w:val="1"/>
    <w:next w:val="1"/>
    <w:autoRedefine/>
    <w:qFormat/>
    <w:uiPriority w:val="0"/>
    <w:pPr>
      <w:ind w:left="840" w:leftChars="200" w:hanging="420" w:hangingChars="200"/>
    </w:pPr>
  </w:style>
  <w:style w:type="paragraph" w:styleId="56">
    <w:name w:val="toc 2"/>
    <w:basedOn w:val="1"/>
    <w:next w:val="1"/>
    <w:autoRedefine/>
    <w:qFormat/>
    <w:uiPriority w:val="39"/>
    <w:pPr>
      <w:widowControl/>
      <w:tabs>
        <w:tab w:val="right" w:leader="dot" w:pos="9639"/>
      </w:tabs>
      <w:spacing w:line="500" w:lineRule="exact"/>
      <w:jc w:val="left"/>
    </w:pPr>
    <w:rPr>
      <w:snapToGrid w:val="0"/>
      <w:kern w:val="0"/>
    </w:rPr>
  </w:style>
  <w:style w:type="paragraph" w:styleId="57">
    <w:name w:val="toc 9"/>
    <w:basedOn w:val="1"/>
    <w:next w:val="1"/>
    <w:autoRedefine/>
    <w:qFormat/>
    <w:uiPriority w:val="0"/>
    <w:pPr>
      <w:ind w:left="1680"/>
      <w:jc w:val="left"/>
    </w:pPr>
    <w:rPr>
      <w:szCs w:val="21"/>
    </w:rPr>
  </w:style>
  <w:style w:type="paragraph" w:styleId="58">
    <w:name w:val="Body Text 2"/>
    <w:basedOn w:val="1"/>
    <w:link w:val="106"/>
    <w:autoRedefine/>
    <w:qFormat/>
    <w:uiPriority w:val="0"/>
    <w:pPr>
      <w:spacing w:after="120" w:line="480" w:lineRule="auto"/>
    </w:pPr>
    <w:rPr>
      <w:kern w:val="0"/>
      <w:sz w:val="20"/>
    </w:rPr>
  </w:style>
  <w:style w:type="paragraph" w:styleId="59">
    <w:name w:val="List 4"/>
    <w:basedOn w:val="1"/>
    <w:autoRedefine/>
    <w:qFormat/>
    <w:uiPriority w:val="0"/>
    <w:pPr>
      <w:ind w:left="100" w:leftChars="600" w:hanging="200" w:hangingChars="200"/>
    </w:pPr>
  </w:style>
  <w:style w:type="paragraph" w:styleId="60">
    <w:name w:val="List Continue 2"/>
    <w:basedOn w:val="1"/>
    <w:autoRedefine/>
    <w:qFormat/>
    <w:uiPriority w:val="0"/>
    <w:pPr>
      <w:spacing w:after="120"/>
      <w:ind w:left="840" w:leftChars="400"/>
    </w:pPr>
    <w:rPr>
      <w:szCs w:val="21"/>
    </w:rPr>
  </w:style>
  <w:style w:type="paragraph" w:styleId="61">
    <w:name w:val="HTML Preformatted"/>
    <w:basedOn w:val="1"/>
    <w:link w:val="10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62">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63">
    <w:name w:val="index 2"/>
    <w:basedOn w:val="1"/>
    <w:next w:val="1"/>
    <w:autoRedefine/>
    <w:qFormat/>
    <w:uiPriority w:val="0"/>
    <w:pPr>
      <w:ind w:left="420" w:hanging="210"/>
      <w:jc w:val="left"/>
    </w:pPr>
    <w:rPr>
      <w:sz w:val="18"/>
      <w:szCs w:val="18"/>
    </w:rPr>
  </w:style>
  <w:style w:type="paragraph" w:styleId="64">
    <w:name w:val="Title"/>
    <w:basedOn w:val="1"/>
    <w:link w:val="108"/>
    <w:autoRedefine/>
    <w:qFormat/>
    <w:uiPriority w:val="0"/>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65">
    <w:name w:val="annotation subject"/>
    <w:basedOn w:val="21"/>
    <w:next w:val="21"/>
    <w:link w:val="109"/>
    <w:autoRedefine/>
    <w:qFormat/>
    <w:uiPriority w:val="0"/>
    <w:rPr>
      <w:b/>
      <w:bCs/>
    </w:rPr>
  </w:style>
  <w:style w:type="paragraph" w:styleId="66">
    <w:name w:val="Body Text First Indent"/>
    <w:basedOn w:val="25"/>
    <w:link w:val="110"/>
    <w:autoRedefine/>
    <w:qFormat/>
    <w:uiPriority w:val="0"/>
    <w:pPr>
      <w:ind w:firstLine="420" w:firstLineChars="100"/>
    </w:pPr>
  </w:style>
  <w:style w:type="paragraph" w:styleId="67">
    <w:name w:val="Body Text First Indent 2"/>
    <w:basedOn w:val="26"/>
    <w:link w:val="111"/>
    <w:autoRedefine/>
    <w:qFormat/>
    <w:uiPriority w:val="0"/>
    <w:pPr>
      <w:spacing w:after="120" w:line="240" w:lineRule="auto"/>
      <w:ind w:left="420" w:leftChars="200" w:firstLine="420" w:firstLineChars="200"/>
    </w:pPr>
    <w:rPr>
      <w:rFonts w:ascii="Times New Roman" w:hAnsi="Times New Roman" w:eastAsia="宋体"/>
      <w:sz w:val="21"/>
      <w:szCs w:val="24"/>
    </w:rPr>
  </w:style>
  <w:style w:type="table" w:styleId="69">
    <w:name w:val="Table Grid"/>
    <w:basedOn w:val="6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1">
    <w:name w:val="Strong"/>
    <w:autoRedefine/>
    <w:qFormat/>
    <w:uiPriority w:val="0"/>
    <w:rPr>
      <w:rFonts w:eastAsia="宋体"/>
      <w:b/>
      <w:bCs/>
      <w:kern w:val="2"/>
      <w:sz w:val="24"/>
      <w:szCs w:val="24"/>
      <w:lang w:val="en-US" w:eastAsia="zh-CN" w:bidi="ar-SA"/>
    </w:rPr>
  </w:style>
  <w:style w:type="character" w:styleId="72">
    <w:name w:val="endnote reference"/>
    <w:autoRedefine/>
    <w:qFormat/>
    <w:uiPriority w:val="0"/>
    <w:rPr>
      <w:vertAlign w:val="superscript"/>
    </w:rPr>
  </w:style>
  <w:style w:type="character" w:styleId="73">
    <w:name w:val="page number"/>
    <w:autoRedefine/>
    <w:qFormat/>
    <w:uiPriority w:val="0"/>
  </w:style>
  <w:style w:type="character" w:styleId="74">
    <w:name w:val="FollowedHyperlink"/>
    <w:autoRedefine/>
    <w:qFormat/>
    <w:uiPriority w:val="99"/>
    <w:rPr>
      <w:color w:val="000000"/>
      <w:sz w:val="18"/>
      <w:szCs w:val="18"/>
      <w:u w:val="none"/>
    </w:rPr>
  </w:style>
  <w:style w:type="character" w:styleId="75">
    <w:name w:val="Emphasis"/>
    <w:autoRedefine/>
    <w:qFormat/>
    <w:uiPriority w:val="0"/>
  </w:style>
  <w:style w:type="character" w:styleId="76">
    <w:name w:val="Hyperlink"/>
    <w:autoRedefine/>
    <w:qFormat/>
    <w:uiPriority w:val="99"/>
    <w:rPr>
      <w:color w:val="000000"/>
      <w:sz w:val="18"/>
      <w:szCs w:val="18"/>
      <w:u w:val="none"/>
    </w:rPr>
  </w:style>
  <w:style w:type="character" w:styleId="77">
    <w:name w:val="annotation reference"/>
    <w:autoRedefine/>
    <w:qFormat/>
    <w:uiPriority w:val="0"/>
    <w:rPr>
      <w:rFonts w:eastAsia="宋体"/>
      <w:kern w:val="2"/>
      <w:sz w:val="21"/>
      <w:szCs w:val="21"/>
      <w:lang w:val="en-US" w:eastAsia="zh-CN" w:bidi="ar-SA"/>
    </w:rPr>
  </w:style>
  <w:style w:type="character" w:styleId="78">
    <w:name w:val="footnote reference"/>
    <w:autoRedefine/>
    <w:qFormat/>
    <w:uiPriority w:val="0"/>
    <w:rPr>
      <w:rFonts w:eastAsia="宋体"/>
      <w:kern w:val="2"/>
      <w:sz w:val="24"/>
      <w:szCs w:val="24"/>
      <w:vertAlign w:val="superscript"/>
      <w:lang w:val="en-US" w:eastAsia="zh-CN" w:bidi="ar-SA"/>
    </w:rPr>
  </w:style>
  <w:style w:type="character" w:customStyle="1" w:styleId="79">
    <w:name w:val="标题 1 字符"/>
    <w:link w:val="2"/>
    <w:autoRedefine/>
    <w:qFormat/>
    <w:uiPriority w:val="0"/>
    <w:rPr>
      <w:rFonts w:ascii="Times New Roman" w:hAnsi="Times New Roman" w:eastAsia="宋体" w:cs="Times New Roman"/>
      <w:b/>
      <w:bCs/>
      <w:kern w:val="44"/>
      <w:sz w:val="44"/>
      <w:szCs w:val="44"/>
    </w:rPr>
  </w:style>
  <w:style w:type="character" w:customStyle="1" w:styleId="80">
    <w:name w:val="标题 2 字符"/>
    <w:link w:val="3"/>
    <w:autoRedefine/>
    <w:qFormat/>
    <w:uiPriority w:val="0"/>
    <w:rPr>
      <w:rFonts w:ascii="Arial" w:hAnsi="Arial" w:eastAsia="宋体"/>
      <w:b/>
      <w:bCs/>
      <w:kern w:val="2"/>
      <w:sz w:val="28"/>
      <w:szCs w:val="32"/>
    </w:rPr>
  </w:style>
  <w:style w:type="character" w:customStyle="1" w:styleId="81">
    <w:name w:val="标题 3 字符"/>
    <w:link w:val="4"/>
    <w:autoRedefine/>
    <w:qFormat/>
    <w:uiPriority w:val="0"/>
    <w:rPr>
      <w:rFonts w:ascii="Times New Roman" w:hAnsi="Times New Roman"/>
      <w:b/>
      <w:bCs/>
      <w:kern w:val="2"/>
      <w:sz w:val="24"/>
      <w:szCs w:val="32"/>
    </w:rPr>
  </w:style>
  <w:style w:type="character" w:customStyle="1" w:styleId="82">
    <w:name w:val="标题 4 字符"/>
    <w:link w:val="5"/>
    <w:autoRedefine/>
    <w:qFormat/>
    <w:uiPriority w:val="0"/>
    <w:rPr>
      <w:rFonts w:ascii="Arial" w:hAnsi="Arial" w:eastAsia="黑体" w:cs="Times New Roman"/>
      <w:b/>
      <w:bCs/>
      <w:sz w:val="28"/>
      <w:szCs w:val="28"/>
    </w:rPr>
  </w:style>
  <w:style w:type="character" w:customStyle="1" w:styleId="83">
    <w:name w:val="标题 5 字符"/>
    <w:link w:val="6"/>
    <w:autoRedefine/>
    <w:qFormat/>
    <w:uiPriority w:val="0"/>
    <w:rPr>
      <w:rFonts w:ascii="Times New Roman" w:hAnsi="Times New Roman" w:eastAsia="宋体" w:cs="Times New Roman"/>
      <w:b/>
      <w:bCs/>
      <w:sz w:val="28"/>
      <w:szCs w:val="28"/>
    </w:rPr>
  </w:style>
  <w:style w:type="character" w:customStyle="1" w:styleId="84">
    <w:name w:val="标题 6 字符"/>
    <w:link w:val="7"/>
    <w:autoRedefine/>
    <w:qFormat/>
    <w:uiPriority w:val="0"/>
    <w:rPr>
      <w:rFonts w:ascii="Arial" w:hAnsi="Arial" w:eastAsia="黑体" w:cs="Times New Roman"/>
      <w:b/>
      <w:sz w:val="24"/>
      <w:szCs w:val="20"/>
    </w:rPr>
  </w:style>
  <w:style w:type="character" w:customStyle="1" w:styleId="85">
    <w:name w:val="正文缩进 字符"/>
    <w:link w:val="8"/>
    <w:autoRedefine/>
    <w:qFormat/>
    <w:uiPriority w:val="0"/>
    <w:rPr>
      <w:rFonts w:ascii="Times New Roman" w:hAnsi="Times New Roman" w:eastAsia="宋体" w:cs="Times New Roman"/>
      <w:sz w:val="24"/>
      <w:szCs w:val="20"/>
    </w:rPr>
  </w:style>
  <w:style w:type="character" w:customStyle="1" w:styleId="86">
    <w:name w:val="标题 7 字符"/>
    <w:link w:val="9"/>
    <w:autoRedefine/>
    <w:qFormat/>
    <w:uiPriority w:val="0"/>
    <w:rPr>
      <w:rFonts w:ascii="Times New Roman" w:hAnsi="Times New Roman" w:eastAsia="宋体" w:cs="Times New Roman"/>
      <w:b/>
      <w:sz w:val="24"/>
      <w:szCs w:val="20"/>
    </w:rPr>
  </w:style>
  <w:style w:type="character" w:customStyle="1" w:styleId="87">
    <w:name w:val="标题 8 字符"/>
    <w:link w:val="10"/>
    <w:autoRedefine/>
    <w:qFormat/>
    <w:uiPriority w:val="0"/>
    <w:rPr>
      <w:rFonts w:ascii="Arial" w:hAnsi="Arial" w:eastAsia="黑体" w:cs="Times New Roman"/>
      <w:sz w:val="24"/>
      <w:szCs w:val="20"/>
    </w:rPr>
  </w:style>
  <w:style w:type="character" w:customStyle="1" w:styleId="88">
    <w:name w:val="标题 9 字符"/>
    <w:link w:val="11"/>
    <w:autoRedefine/>
    <w:qFormat/>
    <w:uiPriority w:val="0"/>
    <w:rPr>
      <w:rFonts w:ascii="Arial" w:hAnsi="Arial" w:eastAsia="黑体" w:cs="Times New Roman"/>
      <w:szCs w:val="20"/>
    </w:rPr>
  </w:style>
  <w:style w:type="character" w:customStyle="1" w:styleId="89">
    <w:name w:val="文档结构图 字符"/>
    <w:link w:val="19"/>
    <w:autoRedefine/>
    <w:qFormat/>
    <w:uiPriority w:val="0"/>
    <w:rPr>
      <w:rFonts w:ascii="Times New Roman" w:hAnsi="Times New Roman" w:eastAsia="宋体" w:cs="Times New Roman"/>
      <w:szCs w:val="24"/>
      <w:shd w:val="clear" w:color="auto" w:fill="000080"/>
    </w:rPr>
  </w:style>
  <w:style w:type="character" w:customStyle="1" w:styleId="90">
    <w:name w:val="批注文字 字符"/>
    <w:link w:val="21"/>
    <w:autoRedefine/>
    <w:qFormat/>
    <w:uiPriority w:val="0"/>
    <w:rPr>
      <w:rFonts w:ascii="Times New Roman" w:hAnsi="Times New Roman" w:eastAsia="仿宋_GB2312" w:cs="Times New Roman"/>
      <w:sz w:val="30"/>
      <w:szCs w:val="20"/>
    </w:rPr>
  </w:style>
  <w:style w:type="character" w:customStyle="1" w:styleId="91">
    <w:name w:val="称呼 字符"/>
    <w:link w:val="23"/>
    <w:autoRedefine/>
    <w:qFormat/>
    <w:uiPriority w:val="0"/>
    <w:rPr>
      <w:kern w:val="2"/>
      <w:sz w:val="21"/>
      <w:szCs w:val="24"/>
    </w:rPr>
  </w:style>
  <w:style w:type="character" w:customStyle="1" w:styleId="92">
    <w:name w:val="正文文本 3 字符"/>
    <w:link w:val="24"/>
    <w:autoRedefine/>
    <w:qFormat/>
    <w:uiPriority w:val="0"/>
    <w:rPr>
      <w:rFonts w:ascii="仿宋_GB2312" w:hAnsi="Times New Roman" w:eastAsia="仿宋_GB2312" w:cs="Times New Roman"/>
      <w:kern w:val="0"/>
      <w:szCs w:val="20"/>
    </w:rPr>
  </w:style>
  <w:style w:type="character" w:customStyle="1" w:styleId="93">
    <w:name w:val="正文文本 字符"/>
    <w:link w:val="25"/>
    <w:autoRedefine/>
    <w:qFormat/>
    <w:uiPriority w:val="0"/>
    <w:rPr>
      <w:rFonts w:ascii="Times New Roman" w:hAnsi="Times New Roman" w:eastAsia="宋体" w:cs="Times New Roman"/>
      <w:szCs w:val="24"/>
    </w:rPr>
  </w:style>
  <w:style w:type="character" w:customStyle="1" w:styleId="94">
    <w:name w:val="正文文本缩进 字符"/>
    <w:link w:val="26"/>
    <w:autoRedefine/>
    <w:qFormat/>
    <w:uiPriority w:val="0"/>
    <w:rPr>
      <w:rFonts w:ascii="新宋体" w:hAnsi="新宋体" w:eastAsia="新宋体" w:cs="Times New Roman"/>
      <w:sz w:val="28"/>
      <w:szCs w:val="20"/>
    </w:rPr>
  </w:style>
  <w:style w:type="character" w:customStyle="1" w:styleId="95">
    <w:name w:val="纯文本 字符"/>
    <w:link w:val="33"/>
    <w:autoRedefine/>
    <w:qFormat/>
    <w:locked/>
    <w:uiPriority w:val="0"/>
    <w:rPr>
      <w:rFonts w:ascii="宋体" w:hAnsi="Courier New" w:eastAsia="宋体" w:cs="Times New Roman"/>
      <w:szCs w:val="20"/>
    </w:rPr>
  </w:style>
  <w:style w:type="character" w:customStyle="1" w:styleId="96">
    <w:name w:val="日期 字符"/>
    <w:link w:val="36"/>
    <w:qFormat/>
    <w:uiPriority w:val="0"/>
    <w:rPr>
      <w:rFonts w:ascii="宋体" w:hAnsi="Times New Roman" w:eastAsia="宋体" w:cs="Times New Roman"/>
      <w:kern w:val="0"/>
      <w:szCs w:val="20"/>
    </w:rPr>
  </w:style>
  <w:style w:type="character" w:customStyle="1" w:styleId="97">
    <w:name w:val="正文文本缩进 2 字符"/>
    <w:link w:val="37"/>
    <w:autoRedefine/>
    <w:qFormat/>
    <w:uiPriority w:val="0"/>
    <w:rPr>
      <w:rFonts w:ascii="Times New Roman" w:hAnsi="Times New Roman" w:eastAsia="宋体" w:cs="Times New Roman"/>
      <w:szCs w:val="24"/>
    </w:rPr>
  </w:style>
  <w:style w:type="character" w:customStyle="1" w:styleId="98">
    <w:name w:val="尾注文本 字符"/>
    <w:link w:val="38"/>
    <w:autoRedefine/>
    <w:qFormat/>
    <w:uiPriority w:val="0"/>
    <w:rPr>
      <w:rFonts w:ascii="Times New Roman" w:hAnsi="Times New Roman" w:eastAsia="宋体" w:cs="Times New Roman"/>
      <w:szCs w:val="24"/>
    </w:rPr>
  </w:style>
  <w:style w:type="character" w:customStyle="1" w:styleId="99">
    <w:name w:val="批注框文本 字符"/>
    <w:link w:val="39"/>
    <w:autoRedefine/>
    <w:qFormat/>
    <w:uiPriority w:val="0"/>
    <w:rPr>
      <w:rFonts w:ascii="Times New Roman" w:hAnsi="Times New Roman" w:eastAsia="宋体" w:cs="Times New Roman"/>
      <w:sz w:val="18"/>
      <w:szCs w:val="18"/>
    </w:rPr>
  </w:style>
  <w:style w:type="character" w:customStyle="1" w:styleId="100">
    <w:name w:val="页脚 字符"/>
    <w:link w:val="40"/>
    <w:autoRedefine/>
    <w:qFormat/>
    <w:uiPriority w:val="99"/>
    <w:rPr>
      <w:sz w:val="18"/>
      <w:szCs w:val="18"/>
    </w:rPr>
  </w:style>
  <w:style w:type="character" w:customStyle="1" w:styleId="101">
    <w:name w:val="页眉 字符"/>
    <w:link w:val="41"/>
    <w:autoRedefine/>
    <w:qFormat/>
    <w:uiPriority w:val="99"/>
    <w:rPr>
      <w:sz w:val="18"/>
      <w:szCs w:val="18"/>
    </w:rPr>
  </w:style>
  <w:style w:type="character" w:customStyle="1" w:styleId="102">
    <w:name w:val="签名 字符"/>
    <w:link w:val="42"/>
    <w:autoRedefine/>
    <w:qFormat/>
    <w:uiPriority w:val="0"/>
    <w:rPr>
      <w:rFonts w:ascii="Times New Roman" w:hAnsi="Times New Roman" w:eastAsia="楷体_GB2312" w:cs="Times New Roman"/>
      <w:szCs w:val="20"/>
    </w:rPr>
  </w:style>
  <w:style w:type="character" w:customStyle="1" w:styleId="103">
    <w:name w:val="副标题 字符"/>
    <w:link w:val="47"/>
    <w:autoRedefine/>
    <w:qFormat/>
    <w:uiPriority w:val="0"/>
    <w:rPr>
      <w:rFonts w:ascii="Cambria" w:hAnsi="Cambria" w:eastAsia="宋体" w:cs="Times New Roman"/>
      <w:b/>
      <w:bCs/>
      <w:kern w:val="28"/>
      <w:sz w:val="32"/>
      <w:szCs w:val="32"/>
    </w:rPr>
  </w:style>
  <w:style w:type="character" w:customStyle="1" w:styleId="104">
    <w:name w:val="脚注文本 字符"/>
    <w:link w:val="49"/>
    <w:autoRedefine/>
    <w:qFormat/>
    <w:uiPriority w:val="0"/>
    <w:rPr>
      <w:rFonts w:ascii="Times New Roman" w:hAnsi="Times New Roman" w:eastAsia="宋体" w:cs="Times New Roman"/>
      <w:sz w:val="18"/>
      <w:szCs w:val="20"/>
    </w:rPr>
  </w:style>
  <w:style w:type="character" w:customStyle="1" w:styleId="105">
    <w:name w:val="正文文本缩进 3 字符"/>
    <w:link w:val="52"/>
    <w:autoRedefine/>
    <w:qFormat/>
    <w:uiPriority w:val="0"/>
    <w:rPr>
      <w:rFonts w:ascii="新宋体" w:hAnsi="新宋体" w:eastAsia="新宋体" w:cs="Times New Roman"/>
      <w:sz w:val="24"/>
      <w:szCs w:val="24"/>
    </w:rPr>
  </w:style>
  <w:style w:type="character" w:customStyle="1" w:styleId="106">
    <w:name w:val="正文文本 2 字符"/>
    <w:link w:val="58"/>
    <w:autoRedefine/>
    <w:qFormat/>
    <w:uiPriority w:val="0"/>
    <w:rPr>
      <w:rFonts w:ascii="Times New Roman" w:hAnsi="Times New Roman" w:eastAsia="宋体" w:cs="Times New Roman"/>
      <w:szCs w:val="24"/>
    </w:rPr>
  </w:style>
  <w:style w:type="character" w:customStyle="1" w:styleId="107">
    <w:name w:val="HTML 预设格式 字符"/>
    <w:link w:val="61"/>
    <w:autoRedefine/>
    <w:qFormat/>
    <w:uiPriority w:val="0"/>
    <w:rPr>
      <w:rFonts w:ascii="黑体" w:hAnsi="Courier New" w:eastAsia="黑体" w:cs="Courier New"/>
      <w:kern w:val="0"/>
      <w:sz w:val="20"/>
      <w:szCs w:val="20"/>
    </w:rPr>
  </w:style>
  <w:style w:type="character" w:customStyle="1" w:styleId="108">
    <w:name w:val="标题 字符"/>
    <w:link w:val="64"/>
    <w:autoRedefine/>
    <w:qFormat/>
    <w:uiPriority w:val="0"/>
    <w:rPr>
      <w:rFonts w:ascii="Arial" w:hAnsi="Arial" w:eastAsia="宋体" w:cs="Times New Roman"/>
      <w:b/>
      <w:kern w:val="0"/>
      <w:sz w:val="36"/>
      <w:szCs w:val="20"/>
    </w:rPr>
  </w:style>
  <w:style w:type="character" w:customStyle="1" w:styleId="109">
    <w:name w:val="批注主题 字符"/>
    <w:link w:val="65"/>
    <w:autoRedefine/>
    <w:qFormat/>
    <w:uiPriority w:val="0"/>
    <w:rPr>
      <w:rFonts w:ascii="Times New Roman" w:hAnsi="Times New Roman" w:eastAsia="仿宋_GB2312" w:cs="Times New Roman"/>
      <w:b/>
      <w:bCs/>
      <w:sz w:val="30"/>
      <w:szCs w:val="20"/>
    </w:rPr>
  </w:style>
  <w:style w:type="character" w:customStyle="1" w:styleId="110">
    <w:name w:val="正文文本首行缩进 字符1"/>
    <w:link w:val="66"/>
    <w:autoRedefine/>
    <w:qFormat/>
    <w:uiPriority w:val="0"/>
  </w:style>
  <w:style w:type="character" w:customStyle="1" w:styleId="111">
    <w:name w:val="正文文本首行缩进 2 字符1"/>
    <w:link w:val="67"/>
    <w:autoRedefine/>
    <w:qFormat/>
    <w:uiPriority w:val="0"/>
  </w:style>
  <w:style w:type="character" w:customStyle="1" w:styleId="112">
    <w:name w:val="正文文本缩进 Char"/>
    <w:autoRedefine/>
    <w:qFormat/>
    <w:uiPriority w:val="0"/>
    <w:rPr>
      <w:rFonts w:ascii="Times New Roman" w:hAnsi="Times New Roman" w:eastAsia="宋体" w:cs="Times New Roman"/>
      <w:szCs w:val="24"/>
    </w:rPr>
  </w:style>
  <w:style w:type="character" w:customStyle="1" w:styleId="113">
    <w:name w:val="标题 Char1"/>
    <w:autoRedefine/>
    <w:qFormat/>
    <w:uiPriority w:val="0"/>
    <w:rPr>
      <w:rFonts w:ascii="Arial" w:hAnsi="Arial" w:eastAsia="宋体"/>
      <w:b/>
      <w:kern w:val="2"/>
      <w:sz w:val="44"/>
      <w:szCs w:val="24"/>
      <w:lang w:val="en-US" w:eastAsia="zh-CN" w:bidi="ar-SA"/>
    </w:rPr>
  </w:style>
  <w:style w:type="character" w:customStyle="1" w:styleId="114">
    <w:name w:val="Char Char3"/>
    <w:autoRedefine/>
    <w:qFormat/>
    <w:locked/>
    <w:uiPriority w:val="0"/>
    <w:rPr>
      <w:rFonts w:ascii="宋体" w:hAnsi="宋体" w:eastAsia="宋体"/>
      <w:kern w:val="2"/>
      <w:sz w:val="21"/>
      <w:lang w:val="en-US" w:eastAsia="zh-CN" w:bidi="ar-SA"/>
    </w:rPr>
  </w:style>
  <w:style w:type="character" w:customStyle="1" w:styleId="115">
    <w:name w:val="cnfont1"/>
    <w:autoRedefine/>
    <w:qFormat/>
    <w:uiPriority w:val="0"/>
    <w:rPr>
      <w:rFonts w:eastAsia="宋体"/>
      <w:kern w:val="2"/>
      <w:sz w:val="24"/>
      <w:szCs w:val="24"/>
      <w:lang w:val="en-US" w:eastAsia="zh-CN" w:bidi="ar-SA"/>
    </w:rPr>
  </w:style>
  <w:style w:type="character" w:customStyle="1" w:styleId="116">
    <w:name w:val="Char Char2"/>
    <w:autoRedefine/>
    <w:qFormat/>
    <w:locked/>
    <w:uiPriority w:val="0"/>
    <w:rPr>
      <w:rFonts w:ascii="Arial" w:hAnsi="Arial" w:eastAsia="楷体_GB2312"/>
      <w:b/>
      <w:kern w:val="2"/>
      <w:sz w:val="44"/>
      <w:lang w:val="en-US" w:eastAsia="zh-CN" w:bidi="ar-SA"/>
    </w:rPr>
  </w:style>
  <w:style w:type="character" w:customStyle="1" w:styleId="117">
    <w:name w:val="FtrF Char"/>
    <w:autoRedefine/>
    <w:qFormat/>
    <w:uiPriority w:val="0"/>
    <w:rPr>
      <w:rFonts w:eastAsia="楷体_GB2312"/>
      <w:kern w:val="2"/>
      <w:sz w:val="18"/>
      <w:szCs w:val="18"/>
      <w:lang w:val="en-US" w:eastAsia="zh-CN" w:bidi="ar-SA"/>
    </w:rPr>
  </w:style>
  <w:style w:type="character" w:customStyle="1" w:styleId="118">
    <w:name w:val="Char Char41"/>
    <w:autoRedefine/>
    <w:qFormat/>
    <w:uiPriority w:val="0"/>
    <w:rPr>
      <w:rFonts w:ascii="宋体" w:hAnsi="宋体" w:eastAsia="宋体" w:cs="Times New Roman"/>
      <w:kern w:val="2"/>
      <w:sz w:val="24"/>
      <w:szCs w:val="24"/>
      <w:u w:val="single"/>
      <w:lang w:val="en-US" w:eastAsia="zh-CN" w:bidi="ar-SA"/>
    </w:rPr>
  </w:style>
  <w:style w:type="character" w:customStyle="1" w:styleId="119">
    <w:name w:val="text_darkgray1"/>
    <w:autoRedefine/>
    <w:qFormat/>
    <w:uiPriority w:val="0"/>
    <w:rPr>
      <w:rFonts w:eastAsia="宋体"/>
      <w:color w:val="000000"/>
      <w:spacing w:val="380"/>
      <w:kern w:val="2"/>
      <w:sz w:val="22"/>
      <w:szCs w:val="22"/>
      <w:lang w:val="en-US" w:eastAsia="zh-CN" w:bidi="ar-SA"/>
    </w:rPr>
  </w:style>
  <w:style w:type="character" w:customStyle="1" w:styleId="120">
    <w:name w:val="f14b1"/>
    <w:autoRedefine/>
    <w:qFormat/>
    <w:uiPriority w:val="0"/>
    <w:rPr>
      <w:b/>
      <w:bCs/>
      <w:sz w:val="21"/>
      <w:szCs w:val="21"/>
    </w:rPr>
  </w:style>
  <w:style w:type="character" w:customStyle="1" w:styleId="121">
    <w:name w:val="样式 标题 1合同标题章标题 1 Char Char标题 1 Char第1章第1章 Char卷标题标题 1 1... Char"/>
    <w:link w:val="122"/>
    <w:autoRedefine/>
    <w:qFormat/>
    <w:uiPriority w:val="0"/>
    <w:rPr>
      <w:rFonts w:ascii="宋体" w:hAnsi="宋体"/>
      <w:b/>
      <w:bCs/>
      <w:color w:val="000000"/>
      <w:kern w:val="36"/>
      <w:sz w:val="44"/>
      <w:szCs w:val="48"/>
    </w:rPr>
  </w:style>
  <w:style w:type="paragraph" w:customStyle="1" w:styleId="122">
    <w:name w:val="样式 标题 1合同标题章标题 1 Char Char标题 1 Char第1章第1章 Char卷标题标题 1 1..."/>
    <w:basedOn w:val="2"/>
    <w:link w:val="121"/>
    <w:autoRedefine/>
    <w:qFormat/>
    <w:uiPriority w:val="0"/>
    <w:pPr>
      <w:keepNext w:val="0"/>
      <w:keepLines w:val="0"/>
      <w:widowControl/>
      <w:tabs>
        <w:tab w:val="left" w:pos="0"/>
      </w:tabs>
      <w:spacing w:before="284" w:after="0" w:line="360" w:lineRule="auto"/>
      <w:ind w:firstLine="198" w:firstLineChars="198"/>
      <w:jc w:val="center"/>
    </w:pPr>
    <w:rPr>
      <w:rFonts w:ascii="宋体" w:hAnsi="宋体"/>
      <w:color w:val="000000"/>
      <w:kern w:val="36"/>
      <w:szCs w:val="48"/>
    </w:rPr>
  </w:style>
  <w:style w:type="character" w:customStyle="1" w:styleId="123">
    <w:name w:val="无间隔 字符"/>
    <w:link w:val="124"/>
    <w:autoRedefine/>
    <w:qFormat/>
    <w:uiPriority w:val="0"/>
    <w:rPr>
      <w:sz w:val="22"/>
      <w:szCs w:val="22"/>
      <w:lang w:val="en-US" w:eastAsia="zh-CN" w:bidi="ar-SA"/>
    </w:rPr>
  </w:style>
  <w:style w:type="paragraph" w:styleId="124">
    <w:name w:val="No Spacing"/>
    <w:link w:val="123"/>
    <w:autoRedefine/>
    <w:qFormat/>
    <w:uiPriority w:val="0"/>
    <w:rPr>
      <w:rFonts w:ascii="Times New Roman" w:hAnsi="Times New Roman" w:eastAsia="宋体" w:cs="Times New Roman"/>
      <w:sz w:val="22"/>
      <w:szCs w:val="22"/>
      <w:lang w:val="en-US" w:eastAsia="zh-CN" w:bidi="ar-SA"/>
    </w:rPr>
  </w:style>
  <w:style w:type="character" w:customStyle="1" w:styleId="125">
    <w:name w:val="文一 Char"/>
    <w:autoRedefine/>
    <w:qFormat/>
    <w:uiPriority w:val="0"/>
    <w:rPr>
      <w:rFonts w:eastAsia="宋体"/>
      <w:snapToGrid w:val="0"/>
      <w:spacing w:val="4"/>
      <w:sz w:val="24"/>
      <w:szCs w:val="24"/>
      <w:lang w:val="en-US" w:eastAsia="zh-CN" w:bidi="ar-SA"/>
    </w:rPr>
  </w:style>
  <w:style w:type="character" w:customStyle="1" w:styleId="126">
    <w:name w:val="Char Char51"/>
    <w:autoRedefine/>
    <w:qFormat/>
    <w:uiPriority w:val="0"/>
    <w:rPr>
      <w:rFonts w:ascii="Arial" w:hAnsi="Arial" w:eastAsia="宋体"/>
      <w:b/>
      <w:kern w:val="2"/>
      <w:sz w:val="44"/>
      <w:lang w:val="en-US" w:eastAsia="zh-CN" w:bidi="ar-SA"/>
    </w:rPr>
  </w:style>
  <w:style w:type="character" w:customStyle="1" w:styleId="127">
    <w:name w:val="合同标题 Char3"/>
    <w:autoRedefine/>
    <w:qFormat/>
    <w:locked/>
    <w:uiPriority w:val="0"/>
    <w:rPr>
      <w:rFonts w:ascii="仿宋_GB2312" w:hAnsi="宋体" w:eastAsia="仿宋_GB2312" w:cs="宋体"/>
      <w:b/>
      <w:bCs/>
      <w:kern w:val="2"/>
      <w:sz w:val="28"/>
      <w:szCs w:val="28"/>
      <w:lang w:val="en-US" w:eastAsia="zh-CN" w:bidi="ar-SA"/>
    </w:rPr>
  </w:style>
  <w:style w:type="character" w:customStyle="1" w:styleId="128">
    <w:name w:val="style11"/>
    <w:autoRedefine/>
    <w:qFormat/>
    <w:uiPriority w:val="0"/>
    <w:rPr>
      <w:color w:val="FF0000"/>
    </w:rPr>
  </w:style>
  <w:style w:type="character" w:customStyle="1" w:styleId="129">
    <w:name w:val="main1"/>
    <w:autoRedefine/>
    <w:qFormat/>
    <w:uiPriority w:val="0"/>
    <w:rPr>
      <w:color w:val="333333"/>
      <w:sz w:val="18"/>
      <w:szCs w:val="18"/>
    </w:rPr>
  </w:style>
  <w:style w:type="character" w:customStyle="1" w:styleId="130">
    <w:name w:val="1page sec3 Char Char"/>
    <w:autoRedefine/>
    <w:qFormat/>
    <w:uiPriority w:val="0"/>
    <w:rPr>
      <w:rFonts w:eastAsia="楷体_GB2312"/>
      <w:kern w:val="2"/>
      <w:sz w:val="18"/>
      <w:lang w:val="en-US" w:eastAsia="zh-CN" w:bidi="ar-SA"/>
    </w:rPr>
  </w:style>
  <w:style w:type="character" w:customStyle="1" w:styleId="131">
    <w:name w:val="style41"/>
    <w:autoRedefine/>
    <w:qFormat/>
    <w:uiPriority w:val="0"/>
    <w:rPr>
      <w:b/>
      <w:bCs/>
      <w:color w:val="005BA2"/>
      <w:sz w:val="21"/>
      <w:szCs w:val="21"/>
    </w:rPr>
  </w:style>
  <w:style w:type="character" w:customStyle="1" w:styleId="132">
    <w:name w:val="Char Char4"/>
    <w:autoRedefine/>
    <w:qFormat/>
    <w:uiPriority w:val="0"/>
    <w:rPr>
      <w:rFonts w:ascii="宋体" w:hAnsi="宋体" w:eastAsia="宋体" w:cs="Times New Roman"/>
      <w:kern w:val="2"/>
      <w:sz w:val="24"/>
      <w:szCs w:val="24"/>
      <w:u w:val="single"/>
      <w:lang w:val="en-US" w:eastAsia="zh-CN" w:bidi="ar-SA"/>
    </w:rPr>
  </w:style>
  <w:style w:type="character" w:customStyle="1" w:styleId="133">
    <w:name w:val="样式 标题 1合同标题章标题 1 Char Char标题 1 Char第1章第1章 Char卷标题标题 1 1...1 Char"/>
    <w:link w:val="134"/>
    <w:autoRedefine/>
    <w:qFormat/>
    <w:uiPriority w:val="0"/>
    <w:rPr>
      <w:rFonts w:ascii="宋体" w:hAnsi="宋体" w:cs="宋体"/>
      <w:b/>
      <w:bCs/>
      <w:color w:val="000000"/>
      <w:kern w:val="36"/>
      <w:sz w:val="28"/>
      <w:szCs w:val="48"/>
    </w:rPr>
  </w:style>
  <w:style w:type="paragraph" w:customStyle="1" w:styleId="134">
    <w:name w:val="样式 标题 1合同标题章标题 1 Char Char标题 1 Char第1章第1章 Char卷标题标题 1 1...1"/>
    <w:basedOn w:val="2"/>
    <w:link w:val="133"/>
    <w:autoRedefine/>
    <w:qFormat/>
    <w:uiPriority w:val="0"/>
    <w:pPr>
      <w:keepNext w:val="0"/>
      <w:keepLines w:val="0"/>
      <w:widowControl/>
      <w:tabs>
        <w:tab w:val="left" w:pos="360"/>
      </w:tabs>
      <w:spacing w:before="284" w:after="0" w:line="360" w:lineRule="auto"/>
      <w:ind w:firstLine="198" w:firstLineChars="198"/>
      <w:jc w:val="center"/>
    </w:pPr>
    <w:rPr>
      <w:rFonts w:ascii="宋体" w:hAnsi="宋体"/>
      <w:color w:val="000000"/>
      <w:kern w:val="36"/>
      <w:sz w:val="28"/>
      <w:szCs w:val="48"/>
    </w:rPr>
  </w:style>
  <w:style w:type="character" w:customStyle="1" w:styleId="135">
    <w:name w:val="Char Char Char1"/>
    <w:autoRedefine/>
    <w:qFormat/>
    <w:uiPriority w:val="0"/>
    <w:rPr>
      <w:rFonts w:ascii="Arial" w:hAnsi="Arial" w:eastAsia="黑体"/>
      <w:b/>
      <w:bCs/>
      <w:kern w:val="2"/>
      <w:sz w:val="32"/>
      <w:szCs w:val="32"/>
      <w:lang w:val="en-US" w:eastAsia="zh-CN" w:bidi="ar-SA"/>
    </w:rPr>
  </w:style>
  <w:style w:type="character" w:customStyle="1" w:styleId="136">
    <w:name w:val="标题 1 Char1"/>
    <w:autoRedefine/>
    <w:qFormat/>
    <w:uiPriority w:val="0"/>
    <w:rPr>
      <w:rFonts w:ascii="宋体" w:hAnsi="宋体" w:eastAsia="宋体" w:cs="宋体"/>
      <w:b/>
      <w:bCs/>
      <w:kern w:val="36"/>
      <w:sz w:val="48"/>
      <w:szCs w:val="48"/>
      <w:lang w:val="en-US" w:eastAsia="zh-CN" w:bidi="ar-SA"/>
    </w:rPr>
  </w:style>
  <w:style w:type="character" w:customStyle="1" w:styleId="137">
    <w:name w:val="页眉 Char1"/>
    <w:autoRedefine/>
    <w:qFormat/>
    <w:uiPriority w:val="99"/>
    <w:rPr>
      <w:rFonts w:eastAsia="创艺简楷体"/>
      <w:kern w:val="2"/>
      <w:sz w:val="18"/>
      <w:szCs w:val="18"/>
    </w:rPr>
  </w:style>
  <w:style w:type="character" w:customStyle="1" w:styleId="138">
    <w:name w:val="尾注文本 Char1"/>
    <w:autoRedefine/>
    <w:semiHidden/>
    <w:qFormat/>
    <w:locked/>
    <w:uiPriority w:val="0"/>
    <w:rPr>
      <w:rFonts w:ascii="宋体" w:hAnsi="宋体"/>
      <w:sz w:val="24"/>
      <w:szCs w:val="24"/>
    </w:rPr>
  </w:style>
  <w:style w:type="character" w:customStyle="1" w:styleId="139">
    <w:name w:val="首行缩进:  2 字符 Char Char"/>
    <w:link w:val="140"/>
    <w:autoRedefine/>
    <w:qFormat/>
    <w:uiPriority w:val="0"/>
    <w:rPr>
      <w:rFonts w:ascii="Times New Roman" w:hAnsi="Times New Roman" w:eastAsia="宋体" w:cs="宋体"/>
      <w:sz w:val="24"/>
      <w:szCs w:val="20"/>
    </w:rPr>
  </w:style>
  <w:style w:type="paragraph" w:customStyle="1" w:styleId="140">
    <w:name w:val="首行缩进:  2 字符"/>
    <w:basedOn w:val="1"/>
    <w:link w:val="139"/>
    <w:autoRedefine/>
    <w:qFormat/>
    <w:uiPriority w:val="0"/>
    <w:pPr>
      <w:spacing w:line="360" w:lineRule="auto"/>
      <w:ind w:firstLine="480" w:firstLineChars="200"/>
    </w:pPr>
    <w:rPr>
      <w:kern w:val="0"/>
      <w:sz w:val="24"/>
      <w:szCs w:val="20"/>
    </w:rPr>
  </w:style>
  <w:style w:type="character" w:customStyle="1" w:styleId="141">
    <w:name w:val="标题1"/>
    <w:autoRedefine/>
    <w:qFormat/>
    <w:uiPriority w:val="0"/>
    <w:rPr>
      <w:rFonts w:eastAsia="宋体"/>
      <w:kern w:val="2"/>
      <w:sz w:val="24"/>
      <w:szCs w:val="24"/>
      <w:lang w:val="en-US" w:eastAsia="zh-CN" w:bidi="ar-SA"/>
    </w:rPr>
  </w:style>
  <w:style w:type="character" w:customStyle="1" w:styleId="142">
    <w:name w:val="纯文本 Char"/>
    <w:autoRedefine/>
    <w:qFormat/>
    <w:uiPriority w:val="99"/>
    <w:rPr>
      <w:rFonts w:ascii="宋体" w:hAnsi="Courier New" w:eastAsia="宋体" w:cs="Courier New"/>
      <w:szCs w:val="21"/>
    </w:rPr>
  </w:style>
  <w:style w:type="character" w:customStyle="1" w:styleId="143">
    <w:name w:val="Char Char6"/>
    <w:autoRedefine/>
    <w:qFormat/>
    <w:uiPriority w:val="0"/>
    <w:rPr>
      <w:rFonts w:ascii="Arial" w:hAnsi="Arial" w:eastAsia="宋体"/>
      <w:b/>
      <w:bCs/>
      <w:color w:val="000000"/>
      <w:kern w:val="44"/>
      <w:sz w:val="30"/>
      <w:szCs w:val="30"/>
      <w:lang w:val="en-US" w:eastAsia="zh-CN" w:bidi="ar-SA"/>
    </w:rPr>
  </w:style>
  <w:style w:type="character" w:customStyle="1" w:styleId="144">
    <w:name w:val="Char Char Char"/>
    <w:autoRedefine/>
    <w:qFormat/>
    <w:uiPriority w:val="0"/>
    <w:rPr>
      <w:rFonts w:ascii="Arial" w:hAnsi="Arial" w:eastAsia="黑体"/>
      <w:b/>
      <w:bCs/>
      <w:kern w:val="2"/>
      <w:sz w:val="32"/>
      <w:szCs w:val="32"/>
      <w:lang w:val="en-US" w:eastAsia="zh-CN" w:bidi="ar-SA"/>
    </w:rPr>
  </w:style>
  <w:style w:type="character" w:customStyle="1" w:styleId="145">
    <w:name w:val="font51"/>
    <w:autoRedefine/>
    <w:qFormat/>
    <w:uiPriority w:val="0"/>
    <w:rPr>
      <w:rFonts w:hint="eastAsia" w:ascii="宋体" w:hAnsi="宋体" w:eastAsia="宋体" w:cs="宋体"/>
      <w:b/>
      <w:color w:val="000000"/>
      <w:sz w:val="24"/>
      <w:szCs w:val="24"/>
      <w:u w:val="none"/>
    </w:rPr>
  </w:style>
  <w:style w:type="character" w:customStyle="1" w:styleId="146">
    <w:name w:val="Para head"/>
    <w:autoRedefine/>
    <w:qFormat/>
    <w:uiPriority w:val="0"/>
    <w:rPr>
      <w:rFonts w:ascii="Arial" w:hAnsi="Arial" w:eastAsia="Times New Roman"/>
      <w:kern w:val="2"/>
      <w:sz w:val="20"/>
      <w:szCs w:val="24"/>
      <w:lang w:val="en-US" w:eastAsia="zh-CN" w:bidi="ar-SA"/>
    </w:rPr>
  </w:style>
  <w:style w:type="character" w:customStyle="1" w:styleId="147">
    <w:name w:val="合同标题 Char1"/>
    <w:autoRedefine/>
    <w:qFormat/>
    <w:uiPriority w:val="0"/>
    <w:rPr>
      <w:rFonts w:ascii="Arial" w:hAnsi="Arial" w:eastAsia="宋体" w:cs="Times New Roman"/>
      <w:b/>
      <w:color w:val="000000"/>
      <w:kern w:val="44"/>
      <w:sz w:val="28"/>
      <w:szCs w:val="28"/>
      <w:lang w:val="en-US" w:eastAsia="zh-CN" w:bidi="ar-SA"/>
    </w:rPr>
  </w:style>
  <w:style w:type="character" w:customStyle="1" w:styleId="148">
    <w:name w:val="font01"/>
    <w:autoRedefine/>
    <w:qFormat/>
    <w:uiPriority w:val="0"/>
    <w:rPr>
      <w:rFonts w:hint="default" w:ascii="Times New Roman" w:hAnsi="Times New Roman" w:cs="Times New Roman"/>
      <w:color w:val="000000"/>
      <w:sz w:val="20"/>
      <w:szCs w:val="20"/>
      <w:u w:val="none"/>
    </w:rPr>
  </w:style>
  <w:style w:type="character" w:customStyle="1" w:styleId="149">
    <w:name w:val="ca-0"/>
    <w:autoRedefine/>
    <w:qFormat/>
    <w:uiPriority w:val="0"/>
  </w:style>
  <w:style w:type="character" w:customStyle="1" w:styleId="150">
    <w:name w:val="Char Char5"/>
    <w:autoRedefine/>
    <w:qFormat/>
    <w:uiPriority w:val="0"/>
    <w:rPr>
      <w:rFonts w:ascii="Arial" w:hAnsi="Arial" w:eastAsia="宋体"/>
      <w:b/>
      <w:kern w:val="2"/>
      <w:sz w:val="44"/>
      <w:lang w:val="en-US" w:eastAsia="zh-CN" w:bidi="ar-SA"/>
    </w:rPr>
  </w:style>
  <w:style w:type="character" w:customStyle="1" w:styleId="151">
    <w:name w:val="Char Char61"/>
    <w:autoRedefine/>
    <w:qFormat/>
    <w:uiPriority w:val="0"/>
    <w:rPr>
      <w:rFonts w:ascii="Arial" w:hAnsi="Arial" w:eastAsia="宋体"/>
      <w:b/>
      <w:bCs/>
      <w:color w:val="000000"/>
      <w:kern w:val="44"/>
      <w:sz w:val="30"/>
      <w:szCs w:val="30"/>
      <w:lang w:val="en-US" w:eastAsia="zh-CN" w:bidi="ar-SA"/>
    </w:rPr>
  </w:style>
  <w:style w:type="character" w:customStyle="1" w:styleId="152">
    <w:name w:val="标题 3 Char"/>
    <w:autoRedefine/>
    <w:qFormat/>
    <w:uiPriority w:val="0"/>
    <w:rPr>
      <w:rFonts w:ascii="Times New Roman" w:hAnsi="Times New Roman" w:eastAsia="宋体" w:cs="Times New Roman"/>
      <w:b/>
      <w:bCs/>
      <w:sz w:val="32"/>
      <w:szCs w:val="32"/>
    </w:rPr>
  </w:style>
  <w:style w:type="character" w:customStyle="1" w:styleId="153">
    <w:name w:val="fcgray"/>
    <w:autoRedefine/>
    <w:qFormat/>
    <w:uiPriority w:val="0"/>
  </w:style>
  <w:style w:type="character" w:customStyle="1" w:styleId="154">
    <w:name w:val="stitle"/>
    <w:autoRedefine/>
    <w:qFormat/>
    <w:uiPriority w:val="0"/>
  </w:style>
  <w:style w:type="character" w:customStyle="1" w:styleId="155">
    <w:name w:val="合同标题 Char2"/>
    <w:autoRedefine/>
    <w:qFormat/>
    <w:uiPriority w:val="0"/>
    <w:rPr>
      <w:rFonts w:ascii="Arial" w:hAnsi="Arial" w:eastAsia="宋体" w:cs="Times New Roman"/>
      <w:b/>
      <w:bCs/>
      <w:kern w:val="44"/>
      <w:sz w:val="36"/>
      <w:szCs w:val="36"/>
      <w:lang w:val="en-US" w:eastAsia="zh-CN" w:bidi="ar-SA"/>
    </w:rPr>
  </w:style>
  <w:style w:type="character" w:customStyle="1" w:styleId="156">
    <w:name w:val="标题 1 Char2"/>
    <w:autoRedefine/>
    <w:qFormat/>
    <w:locked/>
    <w:uiPriority w:val="0"/>
    <w:rPr>
      <w:rFonts w:ascii="仿宋_GB2312" w:hAnsi="宋体" w:eastAsia="仿宋_GB2312" w:cs="宋体"/>
      <w:b/>
      <w:bCs/>
      <w:sz w:val="30"/>
      <w:szCs w:val="30"/>
    </w:rPr>
  </w:style>
  <w:style w:type="character" w:customStyle="1" w:styleId="157">
    <w:name w:val="font41"/>
    <w:autoRedefine/>
    <w:qFormat/>
    <w:uiPriority w:val="0"/>
    <w:rPr>
      <w:rFonts w:hint="default" w:ascii="Arial" w:hAnsi="Arial" w:cs="Arial"/>
      <w:color w:val="000000"/>
      <w:sz w:val="18"/>
      <w:szCs w:val="18"/>
      <w:u w:val="none"/>
    </w:rPr>
  </w:style>
  <w:style w:type="character" w:customStyle="1" w:styleId="158">
    <w:name w:val="unnamed21"/>
    <w:autoRedefine/>
    <w:qFormat/>
    <w:uiPriority w:val="0"/>
    <w:rPr>
      <w:rFonts w:eastAsia="宋体"/>
      <w:color w:val="CC6633"/>
      <w:kern w:val="2"/>
      <w:sz w:val="24"/>
      <w:szCs w:val="24"/>
      <w:u w:val="none"/>
      <w:lang w:val="en-US" w:eastAsia="zh-CN" w:bidi="ar-SA"/>
    </w:rPr>
  </w:style>
  <w:style w:type="character" w:customStyle="1" w:styleId="159">
    <w:name w:val="标题 Char2"/>
    <w:autoRedefine/>
    <w:qFormat/>
    <w:locked/>
    <w:uiPriority w:val="0"/>
    <w:rPr>
      <w:rFonts w:ascii="Arial" w:hAnsi="Arial" w:eastAsia="楷体_GB2312" w:cs="Times New Roman"/>
      <w:b/>
      <w:sz w:val="44"/>
      <w:szCs w:val="20"/>
    </w:rPr>
  </w:style>
  <w:style w:type="character" w:customStyle="1" w:styleId="160">
    <w:name w:val="Char Char9"/>
    <w:autoRedefine/>
    <w:qFormat/>
    <w:uiPriority w:val="0"/>
    <w:rPr>
      <w:rFonts w:ascii="宋体" w:hAnsi="宋体" w:eastAsia="仿宋_GB2312" w:cs="宋体"/>
      <w:b/>
      <w:sz w:val="30"/>
      <w:szCs w:val="30"/>
    </w:rPr>
  </w:style>
  <w:style w:type="character" w:customStyle="1" w:styleId="161">
    <w:name w:val="textcontents"/>
    <w:autoRedefine/>
    <w:qFormat/>
    <w:uiPriority w:val="0"/>
  </w:style>
  <w:style w:type="character" w:customStyle="1" w:styleId="162">
    <w:name w:val="point_small1"/>
    <w:autoRedefine/>
    <w:qFormat/>
    <w:uiPriority w:val="0"/>
    <w:rPr>
      <w:rFonts w:hint="default" w:ascii="Arial" w:hAnsi="Arial" w:eastAsia="宋体" w:cs="Arial"/>
      <w:kern w:val="2"/>
      <w:sz w:val="24"/>
      <w:szCs w:val="24"/>
      <w:lang w:val="en-US" w:eastAsia="zh-CN" w:bidi="ar-SA"/>
    </w:rPr>
  </w:style>
  <w:style w:type="character" w:customStyle="1" w:styleId="163">
    <w:name w:val="正 文 1 Char"/>
    <w:autoRedefine/>
    <w:qFormat/>
    <w:locked/>
    <w:uiPriority w:val="0"/>
    <w:rPr>
      <w:rFonts w:ascii="宋体" w:hAnsi="Courier New" w:eastAsia="楷体_GB2312"/>
      <w:kern w:val="2"/>
      <w:sz w:val="21"/>
      <w:lang w:val="en-US" w:eastAsia="zh-CN" w:bidi="ar-SA"/>
    </w:rPr>
  </w:style>
  <w:style w:type="character" w:customStyle="1" w:styleId="164">
    <w:name w:val="Char Char7"/>
    <w:autoRedefine/>
    <w:qFormat/>
    <w:uiPriority w:val="0"/>
    <w:rPr>
      <w:rFonts w:ascii="宋体" w:hAnsi="Courier New" w:eastAsia="楷体_GB2312"/>
      <w:kern w:val="2"/>
      <w:sz w:val="21"/>
      <w:szCs w:val="24"/>
      <w:lang w:val="en-US" w:eastAsia="zh-CN" w:bidi="ar-SA"/>
    </w:rPr>
  </w:style>
  <w:style w:type="paragraph" w:customStyle="1" w:styleId="165">
    <w:name w:val="xl78"/>
    <w:basedOn w:val="1"/>
    <w:autoRedefine/>
    <w:qFormat/>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66">
    <w:name w:val="xl195"/>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167">
    <w:name w:val="默认段落字体 Para Char"/>
    <w:basedOn w:val="1"/>
    <w:autoRedefine/>
    <w:qFormat/>
    <w:uiPriority w:val="0"/>
    <w:rPr>
      <w:sz w:val="30"/>
    </w:rPr>
  </w:style>
  <w:style w:type="paragraph" w:customStyle="1" w:styleId="168">
    <w:name w:val="xl12122895"/>
    <w:basedOn w:val="1"/>
    <w:autoRedefine/>
    <w:qFormat/>
    <w:uiPriority w:val="0"/>
    <w:pPr>
      <w:widowControl/>
      <w:pBdr>
        <w:left w:val="single" w:color="000000" w:sz="4" w:space="1"/>
        <w:bottom w:val="single" w:color="000000" w:sz="4" w:space="0"/>
        <w:right w:val="single" w:color="000000" w:sz="4" w:space="1"/>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69">
    <w:name w:val="xl81"/>
    <w:basedOn w:val="1"/>
    <w:autoRedefine/>
    <w:qFormat/>
    <w:uiPriority w:val="0"/>
    <w:pPr>
      <w:widowControl/>
      <w:shd w:val="clear" w:color="FFFFFF" w:fill="FFFFFF"/>
      <w:spacing w:before="100" w:beforeAutospacing="1" w:after="100" w:afterAutospacing="1"/>
      <w:jc w:val="left"/>
    </w:pPr>
    <w:rPr>
      <w:rFonts w:ascii="宋体" w:hAnsi="宋体" w:cs="宋体"/>
      <w:color w:val="000000"/>
      <w:kern w:val="0"/>
      <w:sz w:val="24"/>
    </w:rPr>
  </w:style>
  <w:style w:type="paragraph" w:customStyle="1" w:styleId="170">
    <w:name w:val="xl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171">
    <w:name w:val="签名 - 公司"/>
    <w:basedOn w:val="42"/>
    <w:next w:val="172"/>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rPr>
  </w:style>
  <w:style w:type="paragraph" w:customStyle="1" w:styleId="172">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173">
    <w:name w:val="xl1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18"/>
      <w:szCs w:val="18"/>
    </w:rPr>
  </w:style>
  <w:style w:type="paragraph" w:customStyle="1" w:styleId="174">
    <w:name w:val="目录文字"/>
    <w:basedOn w:val="1"/>
    <w:autoRedefine/>
    <w:qFormat/>
    <w:uiPriority w:val="0"/>
    <w:pPr>
      <w:widowControl/>
      <w:spacing w:line="480" w:lineRule="auto"/>
      <w:jc w:val="left"/>
    </w:pPr>
    <w:rPr>
      <w:rFonts w:ascii="宋体" w:hAnsi="宋体"/>
      <w:kern w:val="0"/>
      <w:sz w:val="24"/>
      <w:szCs w:val="20"/>
    </w:rPr>
  </w:style>
  <w:style w:type="paragraph" w:customStyle="1" w:styleId="175">
    <w:name w:val="xl187"/>
    <w:basedOn w:val="1"/>
    <w:autoRedefine/>
    <w:qFormat/>
    <w:uiPriority w:val="0"/>
    <w:pPr>
      <w:widowControl/>
      <w:pBdr>
        <w:top w:val="single" w:color="auto" w:sz="4" w:space="0"/>
        <w:left w:val="single" w:color="auto" w:sz="4" w:space="0"/>
        <w:bottom w:val="double" w:color="auto" w:sz="6" w:space="0"/>
        <w:right w:val="double" w:color="auto" w:sz="6"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76">
    <w:name w:val="xl76"/>
    <w:basedOn w:val="1"/>
    <w:autoRedefine/>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77">
    <w:name w:val="正文段"/>
    <w:basedOn w:val="1"/>
    <w:autoRedefine/>
    <w:qFormat/>
    <w:uiPriority w:val="0"/>
    <w:pPr>
      <w:autoSpaceDE w:val="0"/>
      <w:autoSpaceDN w:val="0"/>
      <w:adjustRightInd w:val="0"/>
      <w:spacing w:before="100" w:after="100" w:line="300" w:lineRule="auto"/>
      <w:ind w:firstLine="527"/>
      <w:jc w:val="left"/>
    </w:pPr>
    <w:rPr>
      <w:w w:val="105"/>
      <w:kern w:val="0"/>
      <w:sz w:val="24"/>
      <w:szCs w:val="20"/>
    </w:rPr>
  </w:style>
  <w:style w:type="paragraph" w:customStyle="1" w:styleId="178">
    <w:name w:val="文二"/>
    <w:basedOn w:val="1"/>
    <w:autoRedefine/>
    <w:qFormat/>
    <w:uiPriority w:val="0"/>
    <w:pPr>
      <w:jc w:val="left"/>
    </w:pPr>
    <w:rPr>
      <w:rFonts w:ascii="宋体" w:hAnsi="宋体"/>
      <w:szCs w:val="21"/>
    </w:rPr>
  </w:style>
  <w:style w:type="paragraph" w:customStyle="1" w:styleId="179">
    <w:name w:val="xl185"/>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180">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Narrow" w:hAnsi="Arial Narrow" w:eastAsia="Arial Unicode MS" w:cs="Arial Unicode MS"/>
      <w:kern w:val="0"/>
      <w:sz w:val="20"/>
      <w:szCs w:val="20"/>
    </w:rPr>
  </w:style>
  <w:style w:type="paragraph" w:customStyle="1" w:styleId="181">
    <w:name w:val="题注5"/>
    <w:basedOn w:val="1"/>
    <w:next w:val="16"/>
    <w:autoRedefine/>
    <w:qFormat/>
    <w:uiPriority w:val="0"/>
    <w:pPr>
      <w:widowControl/>
    </w:pPr>
    <w:rPr>
      <w:sz w:val="24"/>
    </w:rPr>
  </w:style>
  <w:style w:type="paragraph" w:customStyle="1" w:styleId="182">
    <w:name w:val="font7"/>
    <w:basedOn w:val="1"/>
    <w:autoRedefine/>
    <w:qFormat/>
    <w:uiPriority w:val="0"/>
    <w:pPr>
      <w:widowControl/>
      <w:spacing w:before="100" w:beforeAutospacing="1" w:after="100" w:afterAutospacing="1"/>
      <w:jc w:val="left"/>
    </w:pPr>
    <w:rPr>
      <w:kern w:val="0"/>
      <w:sz w:val="22"/>
      <w:szCs w:val="22"/>
    </w:rPr>
  </w:style>
  <w:style w:type="paragraph" w:customStyle="1" w:styleId="183">
    <w:name w:val="封三"/>
    <w:basedOn w:val="184"/>
    <w:next w:val="184"/>
    <w:autoRedefine/>
    <w:qFormat/>
    <w:uiPriority w:val="0"/>
    <w:pPr>
      <w:ind w:firstLine="0" w:firstLineChars="0"/>
      <w:jc w:val="center"/>
    </w:pPr>
    <w:rPr>
      <w:sz w:val="30"/>
    </w:rPr>
  </w:style>
  <w:style w:type="paragraph" w:customStyle="1" w:styleId="184">
    <w:name w:val="文一"/>
    <w:basedOn w:val="1"/>
    <w:autoRedefine/>
    <w:qFormat/>
    <w:uiPriority w:val="0"/>
    <w:pPr>
      <w:topLinePunct/>
      <w:adjustRightInd w:val="0"/>
      <w:snapToGrid w:val="0"/>
      <w:spacing w:line="360" w:lineRule="auto"/>
      <w:ind w:firstLine="200" w:firstLineChars="200"/>
    </w:pPr>
    <w:rPr>
      <w:snapToGrid w:val="0"/>
      <w:spacing w:val="4"/>
      <w:kern w:val="0"/>
      <w:sz w:val="24"/>
    </w:rPr>
  </w:style>
  <w:style w:type="paragraph" w:customStyle="1" w:styleId="185">
    <w:name w:val="xl144"/>
    <w:basedOn w:val="1"/>
    <w:autoRedefine/>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186">
    <w:name w:val="Char Char1 Char Char Char Char Char Char Char Char Char Char1"/>
    <w:basedOn w:val="1"/>
    <w:autoRedefine/>
    <w:qFormat/>
    <w:uiPriority w:val="0"/>
    <w:rPr>
      <w:rFonts w:ascii="Tahoma" w:hAnsi="Tahoma"/>
      <w:sz w:val="24"/>
      <w:szCs w:val="20"/>
    </w:rPr>
  </w:style>
  <w:style w:type="paragraph" w:customStyle="1" w:styleId="187">
    <w:name w:val="发文落款"/>
    <w:basedOn w:val="188"/>
    <w:autoRedefine/>
    <w:qFormat/>
    <w:uiPriority w:val="0"/>
    <w:pPr>
      <w:ind w:left="4094" w:right="607" w:firstLine="0"/>
      <w:jc w:val="center"/>
    </w:pPr>
  </w:style>
  <w:style w:type="paragraph" w:customStyle="1" w:styleId="188">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89">
    <w:name w:val="Char Char Char Char Char Char Char1"/>
    <w:basedOn w:val="1"/>
    <w:autoRedefine/>
    <w:qFormat/>
    <w:uiPriority w:val="0"/>
    <w:pPr>
      <w:ind w:left="567" w:hanging="279"/>
    </w:pPr>
    <w:rPr>
      <w:sz w:val="24"/>
    </w:rPr>
  </w:style>
  <w:style w:type="paragraph" w:customStyle="1" w:styleId="190">
    <w:name w:val="xl77"/>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191">
    <w:name w:val="公文抬头"/>
    <w:basedOn w:val="8"/>
    <w:autoRedefine/>
    <w:qFormat/>
    <w:uiPriority w:val="0"/>
    <w:pPr>
      <w:autoSpaceDE/>
      <w:autoSpaceDN/>
      <w:spacing w:line="240" w:lineRule="auto"/>
      <w:ind w:left="0" w:firstLine="0"/>
    </w:pPr>
    <w:rPr>
      <w:rFonts w:ascii="仿宋_GB2312" w:eastAsia="仿宋_GB2312"/>
      <w:sz w:val="30"/>
      <w:szCs w:val="24"/>
    </w:rPr>
  </w:style>
  <w:style w:type="paragraph" w:customStyle="1" w:styleId="192">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93">
    <w:name w:val="xl12022895"/>
    <w:basedOn w:val="1"/>
    <w:autoRedefine/>
    <w:qFormat/>
    <w:uiPriority w:val="0"/>
    <w:pPr>
      <w:widowControl/>
      <w:pBdr>
        <w:left w:val="single" w:color="000000" w:sz="4" w:space="1"/>
        <w:bottom w:val="single" w:color="000000" w:sz="4" w:space="0"/>
        <w:right w:val="single" w:color="000000" w:sz="4" w:space="1"/>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194">
    <w:name w:val="书籍标题2"/>
    <w:basedOn w:val="1"/>
    <w:autoRedefine/>
    <w:qFormat/>
    <w:uiPriority w:val="0"/>
    <w:pPr>
      <w:spacing w:beforeLines="100" w:afterLines="100"/>
      <w:ind w:left="765" w:hanging="567"/>
      <w:jc w:val="left"/>
      <w:outlineLvl w:val="1"/>
    </w:pPr>
    <w:rPr>
      <w:b/>
      <w:bCs/>
      <w:spacing w:val="20"/>
      <w:sz w:val="32"/>
      <w:szCs w:val="20"/>
    </w:rPr>
  </w:style>
  <w:style w:type="paragraph" w:customStyle="1" w:styleId="195">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196">
    <w:name w:val="xl157"/>
    <w:basedOn w:val="1"/>
    <w:autoRedefine/>
    <w:qFormat/>
    <w:uiPriority w:val="0"/>
    <w:pPr>
      <w:widowControl/>
      <w:pBdr>
        <w:top w:val="double" w:color="auto" w:sz="6" w:space="0"/>
        <w:left w:val="double" w:color="auto" w:sz="6"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0"/>
      <w:szCs w:val="20"/>
    </w:rPr>
  </w:style>
  <w:style w:type="paragraph" w:customStyle="1" w:styleId="197">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98">
    <w:name w:val="编号"/>
    <w:basedOn w:val="1"/>
    <w:autoRedefine/>
    <w:qFormat/>
    <w:uiPriority w:val="0"/>
    <w:pPr>
      <w:spacing w:afterLines="50" w:line="300" w:lineRule="auto"/>
      <w:ind w:left="737" w:hanging="312"/>
      <w:jc w:val="left"/>
      <w:textAlignment w:val="center"/>
    </w:pPr>
    <w:rPr>
      <w:rFonts w:eastAsia="仿宋_GB2312"/>
      <w:spacing w:val="20"/>
      <w:szCs w:val="20"/>
    </w:rPr>
  </w:style>
  <w:style w:type="paragraph" w:customStyle="1" w:styleId="199">
    <w:name w:val="l2"/>
    <w:basedOn w:val="1"/>
    <w:autoRedefine/>
    <w:qFormat/>
    <w:uiPriority w:val="0"/>
    <w:pPr>
      <w:keepLines/>
      <w:widowControl/>
      <w:spacing w:beforeLines="50" w:afterLines="50" w:line="300" w:lineRule="auto"/>
    </w:pPr>
    <w:rPr>
      <w:rFonts w:ascii="Arial" w:hAnsi="Arial"/>
      <w:bCs/>
    </w:rPr>
  </w:style>
  <w:style w:type="paragraph" w:customStyle="1" w:styleId="200">
    <w:name w:val="表身（左）"/>
    <w:autoRedefine/>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201">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02">
    <w:name w:val="Char Char Char Char Char Char Char Char Char Char Char Char Char Char Char Char Char Char Char Char1"/>
    <w:basedOn w:val="1"/>
    <w:autoRedefine/>
    <w:qFormat/>
    <w:uiPriority w:val="0"/>
    <w:rPr>
      <w:sz w:val="30"/>
    </w:rPr>
  </w:style>
  <w:style w:type="paragraph" w:customStyle="1" w:styleId="203">
    <w:name w:val="Char Char Char Char"/>
    <w:basedOn w:val="1"/>
    <w:autoRedefine/>
    <w:qFormat/>
    <w:uiPriority w:val="0"/>
    <w:pPr>
      <w:tabs>
        <w:tab w:val="left" w:pos="806"/>
      </w:tabs>
      <w:ind w:left="806" w:hanging="360"/>
    </w:pPr>
    <w:rPr>
      <w:sz w:val="24"/>
    </w:rPr>
  </w:style>
  <w:style w:type="paragraph" w:customStyle="1" w:styleId="204">
    <w:name w:val="样式1"/>
    <w:basedOn w:val="1"/>
    <w:autoRedefine/>
    <w:qFormat/>
    <w:uiPriority w:val="0"/>
    <w:pPr>
      <w:tabs>
        <w:tab w:val="left" w:pos="772"/>
      </w:tabs>
      <w:adjustRightInd w:val="0"/>
      <w:snapToGrid w:val="0"/>
      <w:spacing w:before="40" w:after="40" w:line="300" w:lineRule="auto"/>
      <w:ind w:left="772" w:hanging="360"/>
      <w:jc w:val="center"/>
      <w:textAlignment w:val="center"/>
    </w:pPr>
    <w:rPr>
      <w:snapToGrid w:val="0"/>
      <w:spacing w:val="20"/>
      <w:kern w:val="0"/>
      <w:sz w:val="18"/>
      <w:szCs w:val="20"/>
    </w:rPr>
  </w:style>
  <w:style w:type="paragraph" w:customStyle="1" w:styleId="205">
    <w:name w:val="table"/>
    <w:basedOn w:val="1"/>
    <w:autoRedefine/>
    <w:qFormat/>
    <w:uiPriority w:val="0"/>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206">
    <w:name w:val="xl12822895"/>
    <w:basedOn w:val="1"/>
    <w:autoRedefine/>
    <w:qFormat/>
    <w:uiPriority w:val="0"/>
    <w:pPr>
      <w:widowControl/>
      <w:spacing w:before="100" w:beforeAutospacing="1" w:after="100" w:afterAutospacing="1"/>
      <w:jc w:val="right"/>
      <w:textAlignment w:val="bottom"/>
    </w:pPr>
    <w:rPr>
      <w:rFonts w:ascii="宋体" w:hAnsi="宋体" w:cs="宋体"/>
      <w:color w:val="000000"/>
      <w:kern w:val="0"/>
      <w:sz w:val="22"/>
      <w:szCs w:val="22"/>
    </w:rPr>
  </w:style>
  <w:style w:type="paragraph" w:customStyle="1" w:styleId="207">
    <w:name w:val="cjk"/>
    <w:basedOn w:val="1"/>
    <w:autoRedefine/>
    <w:qFormat/>
    <w:uiPriority w:val="0"/>
    <w:pPr>
      <w:widowControl/>
      <w:spacing w:before="284" w:after="100" w:afterAutospacing="1" w:line="360" w:lineRule="auto"/>
      <w:jc w:val="left"/>
    </w:pPr>
    <w:rPr>
      <w:rFonts w:ascii="宋体" w:hAnsi="宋体" w:cs="宋体"/>
      <w:kern w:val="0"/>
      <w:sz w:val="22"/>
      <w:szCs w:val="22"/>
    </w:rPr>
  </w:style>
  <w:style w:type="paragraph" w:customStyle="1" w:styleId="208">
    <w:name w:val="表身（中）"/>
    <w:basedOn w:val="200"/>
    <w:autoRedefine/>
    <w:qFormat/>
    <w:uiPriority w:val="0"/>
    <w:pPr>
      <w:jc w:val="center"/>
    </w:pPr>
  </w:style>
  <w:style w:type="paragraph" w:customStyle="1" w:styleId="209">
    <w:name w:val="表头"/>
    <w:basedOn w:val="1"/>
    <w:autoRedefine/>
    <w:qFormat/>
    <w:uiPriority w:val="0"/>
    <w:pPr>
      <w:spacing w:line="360" w:lineRule="auto"/>
      <w:jc w:val="center"/>
    </w:pPr>
    <w:rPr>
      <w:rFonts w:ascii="黑体" w:eastAsia="黑体"/>
      <w:kern w:val="0"/>
      <w:sz w:val="24"/>
      <w:szCs w:val="20"/>
    </w:rPr>
  </w:style>
  <w:style w:type="paragraph" w:customStyle="1" w:styleId="210">
    <w:name w:val="标题9"/>
    <w:basedOn w:val="1"/>
    <w:autoRedefine/>
    <w:qFormat/>
    <w:uiPriority w:val="0"/>
    <w:pPr>
      <w:spacing w:beforeLines="50" w:afterLines="50"/>
    </w:pPr>
    <w:rPr>
      <w:rFonts w:eastAsia="黑体"/>
      <w:b/>
      <w:sz w:val="32"/>
    </w:rPr>
  </w:style>
  <w:style w:type="paragraph" w:customStyle="1" w:styleId="211">
    <w:name w:val="Char Char Char Char Char Char1"/>
    <w:basedOn w:val="1"/>
    <w:autoRedefine/>
    <w:qFormat/>
    <w:uiPriority w:val="0"/>
    <w:pPr>
      <w:widowControl/>
      <w:adjustRightInd w:val="0"/>
      <w:spacing w:beforeLines="100" w:after="240"/>
      <w:jc w:val="center"/>
      <w:textAlignment w:val="baseline"/>
    </w:pPr>
    <w:rPr>
      <w:rFonts w:ascii="Arial" w:hAnsi="Arial" w:eastAsia="黑体" w:cs="Verdana"/>
      <w:b/>
      <w:bCs/>
      <w:kern w:val="0"/>
      <w:sz w:val="32"/>
      <w:lang w:eastAsia="en-US"/>
    </w:rPr>
  </w:style>
  <w:style w:type="paragraph" w:customStyle="1" w:styleId="212">
    <w:name w:val="正文1"/>
    <w:link w:val="213"/>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character" w:customStyle="1" w:styleId="213">
    <w:name w:val="正文1 Char"/>
    <w:link w:val="212"/>
    <w:autoRedefine/>
    <w:qFormat/>
    <w:uiPriority w:val="0"/>
    <w:rPr>
      <w:rFonts w:ascii="宋体"/>
      <w:sz w:val="24"/>
      <w:lang w:bidi="ar-SA"/>
    </w:rPr>
  </w:style>
  <w:style w:type="paragraph" w:customStyle="1" w:styleId="214">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15">
    <w:name w:val="Char Char Char Char Char Char Char Char Char"/>
    <w:basedOn w:val="19"/>
    <w:autoRedefine/>
    <w:qFormat/>
    <w:uiPriority w:val="0"/>
    <w:rPr>
      <w:rFonts w:ascii="Tahoma" w:hAnsi="Tahoma"/>
      <w:sz w:val="24"/>
    </w:rPr>
  </w:style>
  <w:style w:type="paragraph" w:customStyle="1" w:styleId="216">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17">
    <w:name w:val="xl146"/>
    <w:basedOn w:val="1"/>
    <w:autoRedefine/>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218">
    <w:name w:val="Char11"/>
    <w:basedOn w:val="1"/>
    <w:autoRedefine/>
    <w:qFormat/>
    <w:uiPriority w:val="0"/>
    <w:pPr>
      <w:ind w:left="567" w:hanging="279"/>
    </w:pPr>
    <w:rPr>
      <w:sz w:val="24"/>
    </w:rPr>
  </w:style>
  <w:style w:type="paragraph" w:customStyle="1" w:styleId="219">
    <w:name w:val="xl14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220">
    <w:name w:val="样式 居中"/>
    <w:basedOn w:val="1"/>
    <w:autoRedefine/>
    <w:qFormat/>
    <w:uiPriority w:val="0"/>
    <w:pPr>
      <w:spacing w:line="360" w:lineRule="auto"/>
      <w:jc w:val="center"/>
    </w:pPr>
    <w:rPr>
      <w:sz w:val="24"/>
    </w:rPr>
  </w:style>
  <w:style w:type="paragraph" w:customStyle="1" w:styleId="221">
    <w:name w:val="默认段落字体 Para Char Char Char Char Char Char Char"/>
    <w:basedOn w:val="19"/>
    <w:autoRedefine/>
    <w:qFormat/>
    <w:uiPriority w:val="0"/>
    <w:pPr>
      <w:adjustRightInd w:val="0"/>
      <w:spacing w:line="436" w:lineRule="exact"/>
      <w:ind w:left="357"/>
      <w:jc w:val="left"/>
      <w:outlineLvl w:val="3"/>
    </w:pPr>
    <w:rPr>
      <w:rFonts w:ascii="Tahoma" w:hAnsi="Tahoma"/>
      <w:b/>
      <w:sz w:val="24"/>
    </w:rPr>
  </w:style>
  <w:style w:type="paragraph" w:customStyle="1" w:styleId="222">
    <w:name w:val="xl186"/>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18"/>
      <w:szCs w:val="18"/>
    </w:rPr>
  </w:style>
  <w:style w:type="paragraph" w:customStyle="1" w:styleId="223">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24">
    <w:name w:val="xl171"/>
    <w:basedOn w:val="1"/>
    <w:autoRedefine/>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2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226">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18"/>
      <w:szCs w:val="18"/>
    </w:rPr>
  </w:style>
  <w:style w:type="paragraph" w:customStyle="1" w:styleId="227">
    <w:name w:val="纯文本11"/>
    <w:basedOn w:val="1"/>
    <w:autoRedefine/>
    <w:qFormat/>
    <w:uiPriority w:val="0"/>
    <w:pPr>
      <w:adjustRightInd w:val="0"/>
      <w:textAlignment w:val="baseline"/>
    </w:pPr>
    <w:rPr>
      <w:rFonts w:ascii="宋体"/>
      <w:kern w:val="0"/>
      <w:sz w:val="24"/>
      <w:szCs w:val="20"/>
    </w:rPr>
  </w:style>
  <w:style w:type="paragraph" w:customStyle="1" w:styleId="228">
    <w:name w:val="标题2"/>
    <w:basedOn w:val="3"/>
    <w:next w:val="1"/>
    <w:autoRedefine/>
    <w:qFormat/>
    <w:uiPriority w:val="0"/>
    <w:pPr>
      <w:keepNext w:val="0"/>
      <w:keepLines w:val="0"/>
      <w:tabs>
        <w:tab w:val="left" w:pos="1080"/>
      </w:tabs>
      <w:spacing w:after="0" w:line="360" w:lineRule="exact"/>
      <w:jc w:val="center"/>
      <w:outlineLvl w:val="9"/>
    </w:pPr>
    <w:rPr>
      <w:rFonts w:ascii="宋体" w:hAnsi="Times New Roman"/>
      <w:bCs w:val="0"/>
      <w:sz w:val="36"/>
      <w:szCs w:val="48"/>
    </w:rPr>
  </w:style>
  <w:style w:type="paragraph" w:customStyle="1" w:styleId="229">
    <w:name w:val="书籍标题4"/>
    <w:basedOn w:val="230"/>
    <w:next w:val="1"/>
    <w:autoRedefine/>
    <w:qFormat/>
    <w:uiPriority w:val="0"/>
    <w:pPr>
      <w:tabs>
        <w:tab w:val="left" w:pos="1260"/>
        <w:tab w:val="left" w:pos="1680"/>
      </w:tabs>
      <w:spacing w:beforeLines="0" w:afterLines="0"/>
      <w:ind w:left="1680"/>
      <w:outlineLvl w:val="3"/>
    </w:pPr>
    <w:rPr>
      <w:sz w:val="24"/>
      <w:szCs w:val="24"/>
      <w:lang w:val="zh-CN"/>
    </w:rPr>
  </w:style>
  <w:style w:type="paragraph" w:customStyle="1" w:styleId="230">
    <w:name w:val="书籍标题3"/>
    <w:basedOn w:val="194"/>
    <w:autoRedefine/>
    <w:qFormat/>
    <w:uiPriority w:val="0"/>
    <w:pPr>
      <w:tabs>
        <w:tab w:val="left" w:pos="1260"/>
      </w:tabs>
      <w:ind w:left="1260" w:hanging="420"/>
      <w:outlineLvl w:val="2"/>
    </w:pPr>
    <w:rPr>
      <w:sz w:val="28"/>
      <w:szCs w:val="28"/>
    </w:rPr>
  </w:style>
  <w:style w:type="paragraph" w:customStyle="1" w:styleId="231">
    <w:name w:val="xl1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0"/>
      <w:szCs w:val="20"/>
    </w:rPr>
  </w:style>
  <w:style w:type="paragraph" w:customStyle="1" w:styleId="232">
    <w:name w:val="样式 正文缩进 + 首行缩进:  2 字符"/>
    <w:basedOn w:val="8"/>
    <w:autoRedefine/>
    <w:qFormat/>
    <w:uiPriority w:val="0"/>
    <w:pPr>
      <w:autoSpaceDE/>
      <w:autoSpaceDN/>
      <w:ind w:left="0" w:firstLine="480" w:firstLineChars="200"/>
    </w:pPr>
  </w:style>
  <w:style w:type="paragraph" w:customStyle="1" w:styleId="233">
    <w:name w:val="xl84"/>
    <w:basedOn w:val="1"/>
    <w:autoRedefine/>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u w:val="single"/>
    </w:rPr>
  </w:style>
  <w:style w:type="paragraph" w:customStyle="1" w:styleId="234">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235">
    <w:name w:val="xl64"/>
    <w:basedOn w:val="1"/>
    <w:autoRedefine/>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236">
    <w:name w:val="Default 123  Text1"/>
    <w:basedOn w:val="1"/>
    <w:autoRedefine/>
    <w:qFormat/>
    <w:uiPriority w:val="0"/>
    <w:pPr>
      <w:autoSpaceDE w:val="0"/>
      <w:autoSpaceDN w:val="0"/>
      <w:adjustRightInd w:val="0"/>
      <w:jc w:val="left"/>
    </w:pPr>
    <w:rPr>
      <w:rFonts w:ascii="宋体"/>
      <w:kern w:val="0"/>
      <w:sz w:val="26"/>
      <w:szCs w:val="26"/>
    </w:rPr>
  </w:style>
  <w:style w:type="paragraph" w:customStyle="1" w:styleId="237">
    <w:name w:val="Default"/>
    <w:autoRedefine/>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238">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39">
    <w:name w:val="Char1"/>
    <w:basedOn w:val="1"/>
    <w:autoRedefine/>
    <w:qFormat/>
    <w:uiPriority w:val="0"/>
    <w:rPr>
      <w:sz w:val="30"/>
    </w:rPr>
  </w:style>
  <w:style w:type="paragraph" w:customStyle="1" w:styleId="240">
    <w:name w:val="图表文字"/>
    <w:basedOn w:val="1"/>
    <w:autoRedefine/>
    <w:qFormat/>
    <w:uiPriority w:val="0"/>
    <w:pPr>
      <w:widowControl/>
      <w:adjustRightInd w:val="0"/>
      <w:spacing w:before="120" w:after="120"/>
      <w:jc w:val="center"/>
    </w:pPr>
    <w:rPr>
      <w:rFonts w:ascii="黑体" w:eastAsia="黑体"/>
      <w:kern w:val="0"/>
      <w:sz w:val="28"/>
      <w:szCs w:val="20"/>
    </w:rPr>
  </w:style>
  <w:style w:type="paragraph" w:customStyle="1" w:styleId="241">
    <w:name w:val="xl72"/>
    <w:basedOn w:val="1"/>
    <w:autoRedefine/>
    <w:qFormat/>
    <w:uiPriority w:val="0"/>
    <w:pPr>
      <w:widowControl/>
      <w:spacing w:before="100" w:beforeAutospacing="1" w:after="100" w:afterAutospacing="1"/>
      <w:jc w:val="left"/>
      <w:textAlignment w:val="center"/>
    </w:pPr>
    <w:rPr>
      <w:rFonts w:ascii="宋体" w:hAnsi="宋体" w:cs="宋体"/>
      <w:color w:val="000000"/>
      <w:kern w:val="0"/>
      <w:sz w:val="24"/>
    </w:rPr>
  </w:style>
  <w:style w:type="paragraph" w:customStyle="1" w:styleId="242">
    <w:name w:val="xl11622895"/>
    <w:basedOn w:val="1"/>
    <w:autoRedefine/>
    <w:qFormat/>
    <w:uiPriority w:val="0"/>
    <w:pPr>
      <w:widowControl/>
      <w:pBdr>
        <w:top w:val="single" w:color="000000" w:sz="4" w:space="1"/>
        <w:left w:val="single" w:color="000000" w:sz="4" w:space="1"/>
        <w:bottom w:val="single" w:color="000000" w:sz="4" w:space="0"/>
        <w:right w:val="single" w:color="000000" w:sz="4" w:space="1"/>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43">
    <w:name w:val="xl159"/>
    <w:basedOn w:val="1"/>
    <w:autoRedefine/>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244">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245">
    <w:name w:val="xl156"/>
    <w:basedOn w:val="1"/>
    <w:autoRedefine/>
    <w:qFormat/>
    <w:uiPriority w:val="0"/>
    <w:pPr>
      <w:widowControl/>
      <w:spacing w:before="100" w:beforeAutospacing="1" w:after="100" w:afterAutospacing="1"/>
      <w:jc w:val="right"/>
      <w:textAlignment w:val="center"/>
    </w:pPr>
    <w:rPr>
      <w:rFonts w:eastAsia="Arial Unicode MS"/>
      <w:kern w:val="0"/>
      <w:sz w:val="20"/>
      <w:szCs w:val="20"/>
    </w:rPr>
  </w:style>
  <w:style w:type="paragraph" w:customStyle="1" w:styleId="246">
    <w:name w:val="标题辞"/>
    <w:basedOn w:val="2"/>
    <w:next w:val="1"/>
    <w:autoRedefine/>
    <w:qFormat/>
    <w:uiPriority w:val="0"/>
    <w:pPr>
      <w:keepLines w:val="0"/>
      <w:widowControl/>
      <w:spacing w:before="0" w:after="0" w:line="240" w:lineRule="auto"/>
      <w:ind w:firstLine="554" w:firstLineChars="198"/>
      <w:jc w:val="center"/>
    </w:pPr>
    <w:rPr>
      <w:rFonts w:ascii="黑体" w:eastAsia="黑体"/>
      <w:b w:val="0"/>
      <w:bCs w:val="0"/>
      <w:color w:val="000000"/>
      <w:kern w:val="0"/>
      <w:sz w:val="52"/>
      <w:szCs w:val="20"/>
    </w:rPr>
  </w:style>
  <w:style w:type="paragraph" w:customStyle="1" w:styleId="247">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48">
    <w:name w:val="xl11822895"/>
    <w:basedOn w:val="1"/>
    <w:autoRedefine/>
    <w:qFormat/>
    <w:uiPriority w:val="0"/>
    <w:pPr>
      <w:widowControl/>
      <w:pBdr>
        <w:left w:val="single" w:color="000000" w:sz="4" w:space="1"/>
        <w:bottom w:val="single" w:color="000000" w:sz="4" w:space="0"/>
        <w:right w:val="single" w:color="000000" w:sz="4" w:space="1"/>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49">
    <w:name w:val="xl79"/>
    <w:basedOn w:val="1"/>
    <w:autoRedefine/>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250">
    <w:name w:val="目录"/>
    <w:basedOn w:val="1"/>
    <w:autoRedefine/>
    <w:qFormat/>
    <w:uiPriority w:val="0"/>
    <w:pPr>
      <w:widowControl/>
      <w:jc w:val="center"/>
    </w:pPr>
    <w:rPr>
      <w:rFonts w:ascii="宋体"/>
      <w:b/>
      <w:kern w:val="0"/>
      <w:sz w:val="36"/>
      <w:szCs w:val="20"/>
    </w:rPr>
  </w:style>
  <w:style w:type="paragraph" w:customStyle="1" w:styleId="251">
    <w:name w:val="纯文本1"/>
    <w:basedOn w:val="1"/>
    <w:autoRedefine/>
    <w:qFormat/>
    <w:uiPriority w:val="0"/>
    <w:pPr>
      <w:adjustRightInd w:val="0"/>
      <w:textAlignment w:val="baseline"/>
    </w:pPr>
    <w:rPr>
      <w:rFonts w:ascii="宋体"/>
      <w:kern w:val="0"/>
      <w:sz w:val="24"/>
      <w:szCs w:val="20"/>
    </w:rPr>
  </w:style>
  <w:style w:type="paragraph" w:customStyle="1" w:styleId="252">
    <w:name w:val="xl63"/>
    <w:basedOn w:val="1"/>
    <w:autoRedefine/>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253">
    <w:name w:val="封二"/>
    <w:basedOn w:val="184"/>
    <w:next w:val="184"/>
    <w:autoRedefine/>
    <w:qFormat/>
    <w:uiPriority w:val="0"/>
    <w:pPr>
      <w:ind w:firstLine="0" w:firstLineChars="0"/>
      <w:jc w:val="center"/>
    </w:pPr>
    <w:rPr>
      <w:rFonts w:eastAsia="黑体"/>
      <w:b/>
      <w:sz w:val="36"/>
      <w:szCs w:val="36"/>
    </w:rPr>
  </w:style>
  <w:style w:type="paragraph" w:customStyle="1" w:styleId="254">
    <w:name w:val="xl12322895"/>
    <w:basedOn w:val="1"/>
    <w:autoRedefine/>
    <w:qFormat/>
    <w:uiPriority w:val="0"/>
    <w:pPr>
      <w:widowControl/>
      <w:pBdr>
        <w:top w:val="single" w:color="000000" w:sz="4" w:space="1"/>
        <w:left w:val="single" w:color="000000" w:sz="4" w:space="1"/>
        <w:bottom w:val="single" w:color="000000" w:sz="4" w:space="0"/>
        <w:right w:val="single" w:color="000000" w:sz="4" w:space="1"/>
      </w:pBdr>
      <w:spacing w:before="100" w:beforeAutospacing="1" w:after="100" w:afterAutospacing="1"/>
      <w:jc w:val="left"/>
      <w:textAlignment w:val="center"/>
    </w:pPr>
    <w:rPr>
      <w:rFonts w:ascii="宋体" w:hAnsi="宋体" w:cs="宋体"/>
      <w:color w:val="000000"/>
      <w:kern w:val="0"/>
      <w:sz w:val="18"/>
      <w:szCs w:val="18"/>
    </w:rPr>
  </w:style>
  <w:style w:type="paragraph" w:customStyle="1" w:styleId="255">
    <w:name w:val="Table Heading"/>
    <w:basedOn w:val="1"/>
    <w:autoRedefine/>
    <w:qFormat/>
    <w:uiPriority w:val="0"/>
    <w:pPr>
      <w:widowControl/>
      <w:jc w:val="center"/>
    </w:pPr>
    <w:rPr>
      <w:rFonts w:ascii="Arial" w:hAnsi="Arial"/>
      <w:b/>
      <w:kern w:val="0"/>
      <w:sz w:val="18"/>
      <w:szCs w:val="20"/>
    </w:rPr>
  </w:style>
  <w:style w:type="paragraph" w:customStyle="1" w:styleId="256">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257">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258">
    <w:name w:val="正文编号内容"/>
    <w:basedOn w:val="66"/>
    <w:next w:val="66"/>
    <w:autoRedefine/>
    <w:qFormat/>
    <w:uiPriority w:val="0"/>
    <w:pPr>
      <w:widowControl/>
      <w:tabs>
        <w:tab w:val="left" w:pos="425"/>
      </w:tabs>
      <w:suppressAutoHyphens/>
      <w:spacing w:after="0"/>
      <w:ind w:left="425" w:firstLine="0" w:firstLineChars="0"/>
      <w:jc w:val="left"/>
    </w:pPr>
    <w:rPr>
      <w:rFonts w:ascii="黑体" w:hAnsi="华文细黑"/>
      <w:color w:val="000000"/>
      <w:sz w:val="24"/>
      <w:szCs w:val="20"/>
    </w:rPr>
  </w:style>
  <w:style w:type="paragraph" w:customStyle="1" w:styleId="259">
    <w:name w:val="font12"/>
    <w:basedOn w:val="1"/>
    <w:autoRedefine/>
    <w:qFormat/>
    <w:uiPriority w:val="0"/>
    <w:pPr>
      <w:widowControl/>
      <w:spacing w:before="100" w:beforeAutospacing="1" w:after="100" w:afterAutospacing="1"/>
      <w:jc w:val="left"/>
    </w:pPr>
    <w:rPr>
      <w:rFonts w:eastAsia="Arial Unicode MS"/>
      <w:kern w:val="0"/>
      <w:sz w:val="18"/>
      <w:szCs w:val="18"/>
    </w:rPr>
  </w:style>
  <w:style w:type="paragraph" w:customStyle="1" w:styleId="260">
    <w:name w:val="正文（缩进）"/>
    <w:basedOn w:val="1"/>
    <w:autoRedefine/>
    <w:qFormat/>
    <w:uiPriority w:val="0"/>
    <w:pPr>
      <w:spacing w:beforeLines="50" w:afterLines="50" w:line="360" w:lineRule="auto"/>
      <w:ind w:firstLine="480" w:firstLineChars="200"/>
    </w:pPr>
    <w:rPr>
      <w:sz w:val="24"/>
    </w:rPr>
  </w:style>
  <w:style w:type="paragraph" w:customStyle="1" w:styleId="261">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262">
    <w:name w:val="xl75"/>
    <w:basedOn w:val="1"/>
    <w:autoRedefine/>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263">
    <w:name w:val="_Style 8"/>
    <w:basedOn w:val="1"/>
    <w:autoRedefine/>
    <w:qFormat/>
    <w:uiPriority w:val="0"/>
    <w:rPr>
      <w:sz w:val="24"/>
    </w:rPr>
  </w:style>
  <w:style w:type="paragraph" w:customStyle="1" w:styleId="264">
    <w:name w:val="一级条标题"/>
    <w:basedOn w:val="3"/>
    <w:next w:val="1"/>
    <w:autoRedefine/>
    <w:qFormat/>
    <w:uiPriority w:val="0"/>
    <w:pPr>
      <w:keepNext w:val="0"/>
      <w:keepLines w:val="0"/>
      <w:widowControl/>
      <w:tabs>
        <w:tab w:val="left" w:pos="360"/>
        <w:tab w:val="left" w:pos="495"/>
        <w:tab w:val="left" w:pos="1200"/>
        <w:tab w:val="left" w:pos="1418"/>
      </w:tabs>
      <w:spacing w:after="0"/>
      <w:ind w:left="1418" w:hanging="567"/>
      <w:outlineLvl w:val="2"/>
    </w:pPr>
    <w:rPr>
      <w:rFonts w:ascii="黑体" w:hAnsi="Times New Roman"/>
      <w:b w:val="0"/>
      <w:bCs w:val="0"/>
      <w:kern w:val="0"/>
      <w:sz w:val="21"/>
      <w:szCs w:val="20"/>
    </w:rPr>
  </w:style>
  <w:style w:type="paragraph" w:customStyle="1" w:styleId="265">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2"/>
      <w:szCs w:val="22"/>
      <w:lang w:eastAsia="en-US"/>
    </w:rPr>
  </w:style>
  <w:style w:type="paragraph" w:customStyle="1" w:styleId="266">
    <w:name w:val="菲页2"/>
    <w:basedOn w:val="4"/>
    <w:autoRedefine/>
    <w:qFormat/>
    <w:uiPriority w:val="0"/>
    <w:pPr>
      <w:widowControl/>
      <w:tabs>
        <w:tab w:val="left" w:pos="1485"/>
      </w:tabs>
      <w:spacing w:before="120" w:after="120" w:line="360" w:lineRule="auto"/>
      <w:ind w:left="1485" w:hanging="420"/>
      <w:jc w:val="center"/>
    </w:pPr>
    <w:rPr>
      <w:rFonts w:ascii="黑体" w:hAnsi="宋体" w:eastAsia="黑体"/>
      <w:b w:val="0"/>
      <w:bCs w:val="0"/>
      <w:kern w:val="0"/>
      <w:sz w:val="44"/>
      <w:szCs w:val="20"/>
    </w:rPr>
  </w:style>
  <w:style w:type="paragraph" w:customStyle="1" w:styleId="267">
    <w:name w:val="正文1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68">
    <w:name w:val="xl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kern w:val="0"/>
      <w:sz w:val="22"/>
      <w:szCs w:val="22"/>
      <w:lang w:eastAsia="en-US"/>
    </w:rPr>
  </w:style>
  <w:style w:type="paragraph" w:styleId="269">
    <w:name w:val="List Paragraph"/>
    <w:basedOn w:val="1"/>
    <w:link w:val="270"/>
    <w:autoRedefine/>
    <w:qFormat/>
    <w:uiPriority w:val="99"/>
    <w:pPr>
      <w:ind w:firstLine="420" w:firstLineChars="200"/>
    </w:pPr>
  </w:style>
  <w:style w:type="character" w:customStyle="1" w:styleId="270">
    <w:name w:val="列表段落 字符"/>
    <w:link w:val="269"/>
    <w:autoRedefine/>
    <w:qFormat/>
    <w:locked/>
    <w:uiPriority w:val="26"/>
    <w:rPr>
      <w:kern w:val="2"/>
      <w:sz w:val="21"/>
      <w:szCs w:val="24"/>
    </w:rPr>
  </w:style>
  <w:style w:type="paragraph" w:customStyle="1" w:styleId="271">
    <w:name w:val="标题5"/>
    <w:basedOn w:val="1"/>
    <w:autoRedefine/>
    <w:qFormat/>
    <w:uiPriority w:val="0"/>
    <w:pPr>
      <w:tabs>
        <w:tab w:val="left" w:pos="425"/>
      </w:tabs>
      <w:spacing w:before="120" w:after="120"/>
    </w:pPr>
    <w:rPr>
      <w:rFonts w:ascii="宋体"/>
      <w:b/>
      <w:sz w:val="28"/>
    </w:rPr>
  </w:style>
  <w:style w:type="paragraph" w:customStyle="1" w:styleId="272">
    <w:name w:val="标题10"/>
    <w:autoRedefine/>
    <w:qFormat/>
    <w:uiPriority w:val="0"/>
    <w:pPr>
      <w:spacing w:afterLines="100"/>
    </w:pPr>
    <w:rPr>
      <w:rFonts w:ascii="Times New Roman" w:hAnsi="Times New Roman" w:eastAsia="宋体" w:cs="Times New Roman"/>
      <w:b/>
      <w:sz w:val="32"/>
      <w:lang w:val="en-US" w:eastAsia="zh-CN" w:bidi="ar-SA"/>
    </w:rPr>
  </w:style>
  <w:style w:type="paragraph" w:customStyle="1" w:styleId="273">
    <w:name w:val="xl190"/>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274">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75">
    <w:name w:val="xl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18"/>
      <w:szCs w:val="18"/>
    </w:rPr>
  </w:style>
  <w:style w:type="paragraph" w:customStyle="1" w:styleId="276">
    <w:name w:val="Char Char Char Char Char Char Char Char1 Char1"/>
    <w:basedOn w:val="1"/>
    <w:autoRedefine/>
    <w:qFormat/>
    <w:uiPriority w:val="0"/>
    <w:rPr>
      <w:rFonts w:ascii="Tahoma" w:hAnsi="Tahoma" w:cs="宋体"/>
      <w:kern w:val="0"/>
      <w:sz w:val="24"/>
      <w:szCs w:val="20"/>
    </w:rPr>
  </w:style>
  <w:style w:type="paragraph" w:customStyle="1" w:styleId="277">
    <w:name w:val="Char Char Char Char Char Char Char Char Char Char Char Char Char Char Char Char"/>
    <w:basedOn w:val="1"/>
    <w:autoRedefine/>
    <w:qFormat/>
    <w:uiPriority w:val="0"/>
    <w:pPr>
      <w:spacing w:line="330" w:lineRule="atLeast"/>
      <w:ind w:left="360" w:firstLine="360" w:firstLineChars="150"/>
      <w:jc w:val="left"/>
    </w:pPr>
    <w:rPr>
      <w:rFonts w:ascii="ˎ̥" w:hAnsi="ˎ̥" w:cs="宋体"/>
      <w:color w:val="51585D"/>
      <w:kern w:val="0"/>
      <w:sz w:val="24"/>
      <w:szCs w:val="18"/>
    </w:rPr>
  </w:style>
  <w:style w:type="paragraph" w:customStyle="1" w:styleId="278">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79">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80">
    <w:name w:val="xl68"/>
    <w:basedOn w:val="1"/>
    <w:autoRedefine/>
    <w:qFormat/>
    <w:uiPriority w:val="0"/>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281">
    <w:name w:val="正文缩进1"/>
    <w:basedOn w:val="1"/>
    <w:autoRedefine/>
    <w:qFormat/>
    <w:uiPriority w:val="0"/>
    <w:pPr>
      <w:ind w:firstLine="567"/>
    </w:pPr>
    <w:rPr>
      <w:spacing w:val="20"/>
      <w:sz w:val="24"/>
      <w:szCs w:val="20"/>
    </w:rPr>
  </w:style>
  <w:style w:type="paragraph" w:customStyle="1" w:styleId="282">
    <w:name w:val="xl193"/>
    <w:basedOn w:val="1"/>
    <w:autoRedefine/>
    <w:qFormat/>
    <w:uiPriority w:val="0"/>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283">
    <w:name w:val="自标题3"/>
    <w:basedOn w:val="1"/>
    <w:autoRedefine/>
    <w:qFormat/>
    <w:uiPriority w:val="0"/>
    <w:rPr>
      <w:szCs w:val="20"/>
    </w:rPr>
  </w:style>
  <w:style w:type="paragraph" w:customStyle="1" w:styleId="284">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285">
    <w:name w:val="xl82"/>
    <w:basedOn w:val="1"/>
    <w:autoRedefine/>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u w:val="single"/>
    </w:rPr>
  </w:style>
  <w:style w:type="paragraph" w:customStyle="1" w:styleId="286">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287">
    <w:name w:val="题注3"/>
    <w:basedOn w:val="288"/>
    <w:next w:val="16"/>
    <w:autoRedefine/>
    <w:qFormat/>
    <w:uiPriority w:val="0"/>
    <w:rPr>
      <w:bCs/>
    </w:rPr>
  </w:style>
  <w:style w:type="paragraph" w:customStyle="1" w:styleId="288">
    <w:name w:val="题注1"/>
    <w:basedOn w:val="1"/>
    <w:next w:val="16"/>
    <w:autoRedefine/>
    <w:qFormat/>
    <w:uiPriority w:val="0"/>
    <w:rPr>
      <w:rFonts w:ascii="Arial" w:hAnsi="Arial"/>
    </w:rPr>
  </w:style>
  <w:style w:type="paragraph" w:customStyle="1" w:styleId="289">
    <w:name w:val="xl12422895"/>
    <w:basedOn w:val="1"/>
    <w:autoRedefine/>
    <w:qFormat/>
    <w:uiPriority w:val="0"/>
    <w:pPr>
      <w:widowControl/>
      <w:spacing w:before="100" w:beforeAutospacing="1" w:after="100" w:afterAutospacing="1"/>
      <w:jc w:val="center"/>
      <w:textAlignment w:val="center"/>
    </w:pPr>
    <w:rPr>
      <w:rFonts w:ascii="宋体" w:hAnsi="宋体" w:cs="宋体"/>
      <w:color w:val="000000"/>
      <w:kern w:val="0"/>
      <w:sz w:val="36"/>
      <w:szCs w:val="36"/>
    </w:rPr>
  </w:style>
  <w:style w:type="paragraph" w:customStyle="1" w:styleId="290">
    <w:name w:val="封一"/>
    <w:basedOn w:val="184"/>
    <w:next w:val="184"/>
    <w:autoRedefine/>
    <w:qFormat/>
    <w:uiPriority w:val="0"/>
    <w:pPr>
      <w:ind w:firstLine="0" w:firstLineChars="0"/>
      <w:jc w:val="center"/>
    </w:pPr>
    <w:rPr>
      <w:rFonts w:eastAsia="黑体"/>
      <w:b/>
      <w:sz w:val="84"/>
      <w:szCs w:val="84"/>
    </w:rPr>
  </w:style>
  <w:style w:type="paragraph" w:customStyle="1" w:styleId="291">
    <w:name w:val="cjk1"/>
    <w:basedOn w:val="1"/>
    <w:autoRedefine/>
    <w:qFormat/>
    <w:uiPriority w:val="0"/>
    <w:pPr>
      <w:widowControl/>
      <w:spacing w:before="284" w:line="360" w:lineRule="auto"/>
      <w:jc w:val="left"/>
    </w:pPr>
    <w:rPr>
      <w:rFonts w:ascii="宋体" w:hAnsi="宋体" w:cs="宋体"/>
      <w:kern w:val="0"/>
      <w:sz w:val="22"/>
      <w:szCs w:val="22"/>
    </w:rPr>
  </w:style>
  <w:style w:type="paragraph" w:customStyle="1" w:styleId="292">
    <w:name w:val="投标正文"/>
    <w:basedOn w:val="1"/>
    <w:autoRedefine/>
    <w:qFormat/>
    <w:uiPriority w:val="0"/>
    <w:pPr>
      <w:adjustRightInd w:val="0"/>
      <w:snapToGrid w:val="0"/>
      <w:spacing w:line="360" w:lineRule="auto"/>
      <w:ind w:firstLine="200" w:firstLineChars="200"/>
    </w:pPr>
    <w:rPr>
      <w:sz w:val="24"/>
    </w:rPr>
  </w:style>
  <w:style w:type="paragraph" w:customStyle="1" w:styleId="293">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294">
    <w:name w:val="xl74"/>
    <w:basedOn w:val="1"/>
    <w:autoRedefine/>
    <w:qFormat/>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295">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96">
    <w:name w:val="书籍标题1"/>
    <w:basedOn w:val="1"/>
    <w:next w:val="1"/>
    <w:autoRedefine/>
    <w:qFormat/>
    <w:uiPriority w:val="0"/>
    <w:pPr>
      <w:pageBreakBefore/>
      <w:widowControl/>
      <w:spacing w:beforeLines="200" w:afterLines="200"/>
      <w:ind w:left="2240"/>
      <w:jc w:val="center"/>
      <w:outlineLvl w:val="0"/>
    </w:pPr>
    <w:rPr>
      <w:rFonts w:eastAsia="黑体"/>
      <w:b/>
      <w:bCs/>
      <w:spacing w:val="20"/>
      <w:kern w:val="44"/>
      <w:sz w:val="44"/>
      <w:szCs w:val="20"/>
    </w:rPr>
  </w:style>
  <w:style w:type="paragraph" w:customStyle="1" w:styleId="297">
    <w:name w:val="Char Char Char1 Char Char1"/>
    <w:basedOn w:val="1"/>
    <w:autoRedefine/>
    <w:qFormat/>
    <w:uiPriority w:val="0"/>
  </w:style>
  <w:style w:type="paragraph" w:customStyle="1" w:styleId="298">
    <w:name w:val="xl161"/>
    <w:basedOn w:val="1"/>
    <w:autoRedefine/>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299">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00">
    <w:name w:val="xl80"/>
    <w:basedOn w:val="1"/>
    <w:autoRedefine/>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301">
    <w:name w:val="xl5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Arial Unicode MS" w:cs="Arial"/>
      <w:kern w:val="0"/>
      <w:sz w:val="22"/>
      <w:szCs w:val="22"/>
      <w:lang w:eastAsia="en-US"/>
    </w:rPr>
  </w:style>
  <w:style w:type="paragraph" w:customStyle="1" w:styleId="302">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03">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04">
    <w:name w:val="Char2"/>
    <w:basedOn w:val="1"/>
    <w:autoRedefine/>
    <w:qFormat/>
    <w:uiPriority w:val="0"/>
    <w:pPr>
      <w:tabs>
        <w:tab w:val="left" w:pos="585"/>
      </w:tabs>
      <w:ind w:left="585" w:hanging="360"/>
    </w:pPr>
    <w:rPr>
      <w:sz w:val="24"/>
    </w:rPr>
  </w:style>
  <w:style w:type="paragraph" w:customStyle="1" w:styleId="305">
    <w:name w:val="xl12722895"/>
    <w:basedOn w:val="1"/>
    <w:autoRedefine/>
    <w:qFormat/>
    <w:uiPriority w:val="0"/>
    <w:pPr>
      <w:widowControl/>
      <w:pBdr>
        <w:top w:val="single" w:color="000000" w:sz="4" w:space="1"/>
        <w:left w:val="single" w:color="000000" w:sz="4" w:space="1"/>
        <w:bottom w:val="single" w:color="000000" w:sz="4" w:space="0"/>
        <w:right w:val="single" w:color="000000" w:sz="4" w:space="1"/>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306">
    <w:name w:val="Char Char Char Char Char Char Char Char1 Char"/>
    <w:basedOn w:val="1"/>
    <w:autoRedefine/>
    <w:qFormat/>
    <w:uiPriority w:val="0"/>
    <w:rPr>
      <w:rFonts w:ascii="Tahoma" w:hAnsi="Tahoma" w:cs="宋体"/>
      <w:kern w:val="0"/>
      <w:sz w:val="24"/>
      <w:szCs w:val="20"/>
    </w:rPr>
  </w:style>
  <w:style w:type="paragraph" w:customStyle="1" w:styleId="307">
    <w:name w:val="标题I"/>
    <w:basedOn w:val="64"/>
    <w:autoRedefine/>
    <w:qFormat/>
    <w:uiPriority w:val="0"/>
    <w:pPr>
      <w:pageBreakBefore w:val="0"/>
      <w:tabs>
        <w:tab w:val="clear" w:pos="600"/>
        <w:tab w:val="clear" w:pos="960"/>
        <w:tab w:val="clear" w:pos="1080"/>
      </w:tabs>
      <w:overflowPunct/>
      <w:spacing w:after="240" w:line="240" w:lineRule="auto"/>
      <w:ind w:left="585" w:right="0" w:hanging="360"/>
    </w:pPr>
    <w:rPr>
      <w:rFonts w:ascii="Times New Roman" w:hAnsi="Times New Roman" w:eastAsia="黑体" w:cs="Arial"/>
      <w:bCs/>
      <w:outline/>
      <w:color w:val="000000"/>
      <w:kern w:val="2"/>
      <w:sz w:val="48"/>
      <w:szCs w:val="32"/>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308">
    <w:name w:val="章节一"/>
    <w:basedOn w:val="1"/>
    <w:next w:val="1"/>
    <w:autoRedefine/>
    <w:qFormat/>
    <w:uiPriority w:val="0"/>
    <w:pPr>
      <w:topLinePunct/>
      <w:adjustRightInd w:val="0"/>
      <w:snapToGrid w:val="0"/>
      <w:spacing w:beforeLines="50" w:afterLines="50"/>
      <w:jc w:val="center"/>
      <w:outlineLvl w:val="0"/>
    </w:pPr>
    <w:rPr>
      <w:rFonts w:eastAsia="黑体"/>
      <w:b/>
      <w:snapToGrid w:val="0"/>
      <w:spacing w:val="4"/>
      <w:kern w:val="0"/>
      <w:sz w:val="36"/>
      <w:szCs w:val="36"/>
    </w:rPr>
  </w:style>
  <w:style w:type="paragraph" w:customStyle="1" w:styleId="309">
    <w:name w:val="xl83"/>
    <w:basedOn w:val="1"/>
    <w:autoRedefine/>
    <w:qFormat/>
    <w:uiPriority w:val="0"/>
    <w:pPr>
      <w:widowControl/>
      <w:shd w:val="clear" w:color="FFFFFF" w:fill="FFFFFF"/>
      <w:spacing w:before="100" w:beforeAutospacing="1" w:after="100" w:afterAutospacing="1"/>
      <w:jc w:val="center"/>
      <w:textAlignment w:val="center"/>
    </w:pPr>
    <w:rPr>
      <w:rFonts w:ascii="宋体" w:hAnsi="宋体" w:cs="宋体"/>
      <w:color w:val="000000"/>
      <w:kern w:val="0"/>
      <w:sz w:val="24"/>
      <w:u w:val="single"/>
    </w:rPr>
  </w:style>
  <w:style w:type="paragraph" w:customStyle="1" w:styleId="310">
    <w:name w:val="题注6"/>
    <w:basedOn w:val="1"/>
    <w:next w:val="16"/>
    <w:autoRedefine/>
    <w:qFormat/>
    <w:uiPriority w:val="0"/>
    <w:rPr>
      <w:sz w:val="24"/>
    </w:rPr>
  </w:style>
  <w:style w:type="paragraph" w:customStyle="1" w:styleId="311">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12">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13">
    <w:name w:val="二级条标题"/>
    <w:basedOn w:val="264"/>
    <w:next w:val="1"/>
    <w:autoRedefine/>
    <w:qFormat/>
    <w:uiPriority w:val="0"/>
    <w:pPr>
      <w:tabs>
        <w:tab w:val="left" w:pos="1680"/>
        <w:tab w:val="left" w:pos="2356"/>
      </w:tabs>
      <w:ind w:left="1984" w:hanging="708"/>
      <w:outlineLvl w:val="3"/>
    </w:pPr>
  </w:style>
  <w:style w:type="paragraph" w:customStyle="1" w:styleId="314">
    <w:name w:val="表身"/>
    <w:autoRedefine/>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315">
    <w:name w:val="图表 Char"/>
    <w:basedOn w:val="1"/>
    <w:autoRedefine/>
    <w:qFormat/>
    <w:uiPriority w:val="0"/>
    <w:pPr>
      <w:jc w:val="center"/>
    </w:pPr>
    <w:rPr>
      <w:kern w:val="24"/>
      <w:sz w:val="24"/>
      <w:szCs w:val="28"/>
    </w:rPr>
  </w:style>
  <w:style w:type="paragraph" w:customStyle="1" w:styleId="316">
    <w:name w:val="图名"/>
    <w:basedOn w:val="1"/>
    <w:autoRedefine/>
    <w:qFormat/>
    <w:uiPriority w:val="0"/>
    <w:pPr>
      <w:spacing w:line="360" w:lineRule="auto"/>
      <w:jc w:val="center"/>
    </w:pPr>
    <w:rPr>
      <w:rFonts w:eastAsia="楷体_GB2312" w:cs="宋体"/>
      <w:b/>
      <w:sz w:val="24"/>
    </w:rPr>
  </w:style>
  <w:style w:type="paragraph" w:customStyle="1" w:styleId="317">
    <w:name w:val="图文 Char Char Char"/>
    <w:basedOn w:val="1"/>
    <w:autoRedefine/>
    <w:qFormat/>
    <w:uiPriority w:val="0"/>
    <w:pPr>
      <w:snapToGrid w:val="0"/>
      <w:jc w:val="center"/>
    </w:pPr>
    <w:rPr>
      <w:kern w:val="24"/>
      <w:sz w:val="24"/>
      <w:szCs w:val="28"/>
    </w:rPr>
  </w:style>
  <w:style w:type="paragraph" w:customStyle="1" w:styleId="318">
    <w:name w:val="xl184"/>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Arial Unicode MS" w:hAnsi="Arial Unicode MS" w:eastAsia="Arial Unicode MS" w:cs="Arial Unicode MS"/>
      <w:kern w:val="0"/>
      <w:sz w:val="18"/>
      <w:szCs w:val="18"/>
    </w:rPr>
  </w:style>
  <w:style w:type="paragraph" w:customStyle="1" w:styleId="319">
    <w:name w:val="Char Char Char Char Char Char"/>
    <w:basedOn w:val="1"/>
    <w:autoRedefine/>
    <w:qFormat/>
    <w:uiPriority w:val="0"/>
    <w:pPr>
      <w:widowControl/>
      <w:adjustRightInd w:val="0"/>
      <w:spacing w:beforeLines="100" w:after="240"/>
      <w:jc w:val="center"/>
      <w:textAlignment w:val="baseline"/>
    </w:pPr>
    <w:rPr>
      <w:rFonts w:ascii="Arial" w:hAnsi="Arial" w:eastAsia="黑体" w:cs="Verdana"/>
      <w:b/>
      <w:bCs/>
      <w:kern w:val="0"/>
      <w:sz w:val="32"/>
      <w:lang w:eastAsia="en-US"/>
    </w:rPr>
  </w:style>
  <w:style w:type="paragraph" w:customStyle="1" w:styleId="32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321">
    <w:name w:val="xl152"/>
    <w:basedOn w:val="1"/>
    <w:autoRedefine/>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48"/>
      <w:szCs w:val="48"/>
      <w:u w:val="double"/>
    </w:rPr>
  </w:style>
  <w:style w:type="paragraph" w:customStyle="1" w:styleId="322">
    <w:name w:val="样式5"/>
    <w:basedOn w:val="323"/>
    <w:next w:val="323"/>
    <w:autoRedefine/>
    <w:qFormat/>
    <w:uiPriority w:val="0"/>
    <w:pPr>
      <w:tabs>
        <w:tab w:val="right" w:leader="dot" w:pos="9458"/>
        <w:tab w:val="right" w:leader="dot" w:pos="9680"/>
      </w:tabs>
    </w:pPr>
  </w:style>
  <w:style w:type="paragraph" w:customStyle="1" w:styleId="323">
    <w:name w:val="样式4"/>
    <w:basedOn w:val="43"/>
    <w:autoRedefine/>
    <w:qFormat/>
    <w:uiPriority w:val="0"/>
    <w:pPr>
      <w:tabs>
        <w:tab w:val="right" w:leader="dot" w:pos="9458"/>
      </w:tabs>
      <w:spacing w:before="120" w:after="120"/>
      <w:jc w:val="center"/>
    </w:pPr>
    <w:rPr>
      <w:rFonts w:cs="Arial"/>
      <w:bCs/>
      <w:caps/>
      <w:sz w:val="24"/>
      <w:szCs w:val="36"/>
    </w:rPr>
  </w:style>
  <w:style w:type="paragraph" w:customStyle="1" w:styleId="324">
    <w:name w:val="cjk2"/>
    <w:basedOn w:val="1"/>
    <w:autoRedefine/>
    <w:qFormat/>
    <w:uiPriority w:val="0"/>
    <w:pPr>
      <w:widowControl/>
      <w:spacing w:before="284" w:line="360" w:lineRule="auto"/>
      <w:jc w:val="left"/>
    </w:pPr>
    <w:rPr>
      <w:rFonts w:ascii="宋体" w:hAnsi="宋体" w:cs="宋体"/>
      <w:kern w:val="0"/>
      <w:sz w:val="22"/>
      <w:szCs w:val="22"/>
    </w:rPr>
  </w:style>
  <w:style w:type="paragraph" w:customStyle="1" w:styleId="325">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26">
    <w:name w:val="框图"/>
    <w:basedOn w:val="1"/>
    <w:autoRedefine/>
    <w:qFormat/>
    <w:uiPriority w:val="0"/>
    <w:pPr>
      <w:widowControl/>
      <w:suppressLineNumbers/>
      <w:tabs>
        <w:tab w:val="left" w:pos="423"/>
        <w:tab w:val="left" w:pos="564"/>
        <w:tab w:val="left" w:pos="987"/>
      </w:tabs>
      <w:adjustRightInd w:val="0"/>
      <w:spacing w:beforeLines="50"/>
      <w:jc w:val="center"/>
      <w:textAlignment w:val="baseline"/>
    </w:pPr>
    <w:rPr>
      <w:szCs w:val="21"/>
    </w:rPr>
  </w:style>
  <w:style w:type="paragraph" w:customStyle="1" w:styleId="327">
    <w:name w:val="Char Char Char Char Char Char Char"/>
    <w:basedOn w:val="1"/>
    <w:autoRedefine/>
    <w:qFormat/>
    <w:uiPriority w:val="0"/>
    <w:pPr>
      <w:tabs>
        <w:tab w:val="left" w:pos="806"/>
      </w:tabs>
      <w:ind w:left="806" w:hanging="360"/>
    </w:pPr>
    <w:rPr>
      <w:sz w:val="24"/>
    </w:rPr>
  </w:style>
  <w:style w:type="paragraph" w:customStyle="1" w:styleId="328">
    <w:name w:val="图表"/>
    <w:basedOn w:val="1"/>
    <w:autoRedefine/>
    <w:qFormat/>
    <w:uiPriority w:val="0"/>
    <w:pPr>
      <w:snapToGrid w:val="0"/>
      <w:jc w:val="center"/>
    </w:pPr>
    <w:rPr>
      <w:rFonts w:eastAsia="华文中宋"/>
      <w:kern w:val="28"/>
      <w:sz w:val="24"/>
      <w:szCs w:val="20"/>
    </w:rPr>
  </w:style>
  <w:style w:type="paragraph" w:customStyle="1" w:styleId="329">
    <w:name w:val="xl58"/>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w:hAnsi="Arial" w:eastAsia="Arial Unicode MS" w:cs="Arial"/>
      <w:kern w:val="0"/>
      <w:sz w:val="22"/>
      <w:szCs w:val="22"/>
      <w:lang w:eastAsia="en-US"/>
    </w:rPr>
  </w:style>
  <w:style w:type="paragraph" w:customStyle="1" w:styleId="330">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31">
    <w:name w:val="需求书2"/>
    <w:basedOn w:val="1"/>
    <w:autoRedefine/>
    <w:qFormat/>
    <w:uiPriority w:val="0"/>
    <w:pPr>
      <w:widowControl/>
      <w:jc w:val="center"/>
    </w:pPr>
    <w:rPr>
      <w:rFonts w:ascii="宋体" w:hAnsi="宋体" w:cs="Arial"/>
      <w:color w:val="FF0000"/>
      <w:kern w:val="0"/>
      <w:sz w:val="20"/>
      <w:szCs w:val="20"/>
    </w:rPr>
  </w:style>
  <w:style w:type="paragraph" w:customStyle="1" w:styleId="332">
    <w:name w:val="font11"/>
    <w:basedOn w:val="1"/>
    <w:autoRedefine/>
    <w:qFormat/>
    <w:uiPriority w:val="0"/>
    <w:pPr>
      <w:widowControl/>
      <w:spacing w:before="100" w:beforeAutospacing="1" w:after="100" w:afterAutospacing="1"/>
      <w:jc w:val="left"/>
    </w:pPr>
    <w:rPr>
      <w:rFonts w:eastAsia="Arial Unicode MS"/>
      <w:kern w:val="0"/>
      <w:sz w:val="18"/>
      <w:szCs w:val="18"/>
    </w:rPr>
  </w:style>
  <w:style w:type="paragraph" w:customStyle="1" w:styleId="333">
    <w:name w:val="xl153"/>
    <w:basedOn w:val="1"/>
    <w:autoRedefine/>
    <w:qFormat/>
    <w:uiPriority w:val="0"/>
    <w:pPr>
      <w:widowControl/>
      <w:spacing w:before="100" w:beforeAutospacing="1" w:after="100" w:afterAutospacing="1"/>
      <w:jc w:val="left"/>
      <w:textAlignment w:val="center"/>
    </w:pPr>
    <w:rPr>
      <w:rFonts w:ascii="Arial Unicode MS" w:hAnsi="Arial Unicode MS" w:eastAsia="Arial Unicode MS" w:cs="Arial Unicode MS"/>
      <w:kern w:val="0"/>
      <w:sz w:val="48"/>
      <w:szCs w:val="48"/>
      <w:u w:val="double"/>
    </w:rPr>
  </w:style>
  <w:style w:type="paragraph" w:customStyle="1" w:styleId="334">
    <w:name w:val="菲页(卷)"/>
    <w:basedOn w:val="2"/>
    <w:next w:val="212"/>
    <w:autoRedefine/>
    <w:qFormat/>
    <w:uiPriority w:val="0"/>
    <w:pPr>
      <w:keepLines w:val="0"/>
      <w:widowControl/>
      <w:tabs>
        <w:tab w:val="left" w:pos="585"/>
      </w:tabs>
      <w:spacing w:before="0" w:after="0" w:line="240" w:lineRule="auto"/>
      <w:ind w:left="585" w:firstLine="198" w:firstLineChars="198"/>
      <w:jc w:val="center"/>
      <w:outlineLvl w:val="1"/>
    </w:pPr>
    <w:rPr>
      <w:rFonts w:ascii="黑体" w:eastAsia="黑体"/>
      <w:b w:val="0"/>
      <w:bCs w:val="0"/>
      <w:color w:val="000000"/>
      <w:kern w:val="0"/>
      <w:sz w:val="52"/>
      <w:szCs w:val="20"/>
    </w:rPr>
  </w:style>
  <w:style w:type="paragraph" w:customStyle="1" w:styleId="335">
    <w:name w:val="正题"/>
    <w:basedOn w:val="184"/>
    <w:next w:val="184"/>
    <w:autoRedefine/>
    <w:qFormat/>
    <w:uiPriority w:val="0"/>
    <w:pPr>
      <w:ind w:firstLine="0" w:firstLineChars="0"/>
      <w:jc w:val="center"/>
    </w:pPr>
    <w:rPr>
      <w:rFonts w:eastAsia="黑体"/>
      <w:b/>
      <w:sz w:val="36"/>
      <w:szCs w:val="36"/>
    </w:rPr>
  </w:style>
  <w:style w:type="paragraph" w:customStyle="1" w:styleId="336">
    <w:name w:val="保留正文"/>
    <w:basedOn w:val="25"/>
    <w:autoRedefine/>
    <w:qFormat/>
    <w:uiPriority w:val="0"/>
    <w:pPr>
      <w:keepNext/>
      <w:spacing w:after="160"/>
    </w:pPr>
  </w:style>
  <w:style w:type="paragraph" w:customStyle="1" w:styleId="337">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0"/>
      <w:szCs w:val="20"/>
    </w:rPr>
  </w:style>
  <w:style w:type="paragraph" w:customStyle="1" w:styleId="338">
    <w:name w:val="xl150"/>
    <w:basedOn w:val="1"/>
    <w:autoRedefine/>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339">
    <w:name w:val="xl154"/>
    <w:basedOn w:val="1"/>
    <w:autoRedefine/>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48"/>
      <w:szCs w:val="48"/>
      <w:u w:val="double"/>
    </w:rPr>
  </w:style>
  <w:style w:type="paragraph" w:customStyle="1" w:styleId="340">
    <w:name w:val="图文 Char"/>
    <w:basedOn w:val="1"/>
    <w:autoRedefine/>
    <w:qFormat/>
    <w:uiPriority w:val="0"/>
    <w:pPr>
      <w:jc w:val="center"/>
    </w:pPr>
    <w:rPr>
      <w:kern w:val="24"/>
      <w:sz w:val="24"/>
      <w:szCs w:val="28"/>
    </w:rPr>
  </w:style>
  <w:style w:type="paragraph" w:customStyle="1" w:styleId="341">
    <w:name w:val="font9"/>
    <w:basedOn w:val="1"/>
    <w:autoRedefine/>
    <w:qFormat/>
    <w:uiPriority w:val="0"/>
    <w:pPr>
      <w:widowControl/>
      <w:spacing w:before="100" w:beforeAutospacing="1" w:after="100" w:afterAutospacing="1"/>
      <w:jc w:val="left"/>
    </w:pPr>
    <w:rPr>
      <w:rFonts w:hint="eastAsia" w:ascii="宋体" w:hAnsi="宋体"/>
      <w:kern w:val="0"/>
      <w:sz w:val="22"/>
      <w:szCs w:val="22"/>
    </w:rPr>
  </w:style>
  <w:style w:type="paragraph" w:customStyle="1" w:styleId="342">
    <w:name w:val="xl5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2"/>
      <w:szCs w:val="22"/>
      <w:lang w:eastAsia="en-US"/>
    </w:rPr>
  </w:style>
  <w:style w:type="paragraph" w:customStyle="1" w:styleId="343">
    <w:name w:val="Char Char1 Char Char Char Char Char Char Char Char Char Char"/>
    <w:basedOn w:val="1"/>
    <w:autoRedefine/>
    <w:qFormat/>
    <w:uiPriority w:val="0"/>
    <w:rPr>
      <w:rFonts w:ascii="Tahoma" w:hAnsi="Tahoma"/>
      <w:sz w:val="24"/>
      <w:szCs w:val="20"/>
    </w:rPr>
  </w:style>
  <w:style w:type="paragraph" w:customStyle="1" w:styleId="344">
    <w:name w:val="正3"/>
    <w:basedOn w:val="1"/>
    <w:autoRedefine/>
    <w:qFormat/>
    <w:uiPriority w:val="0"/>
    <w:pPr>
      <w:spacing w:before="120" w:line="360" w:lineRule="auto"/>
      <w:jc w:val="left"/>
    </w:pPr>
    <w:rPr>
      <w:b/>
      <w:sz w:val="28"/>
      <w:szCs w:val="20"/>
    </w:rPr>
  </w:style>
  <w:style w:type="paragraph" w:customStyle="1" w:styleId="345">
    <w:name w:val="四级条标题"/>
    <w:basedOn w:val="346"/>
    <w:next w:val="1"/>
    <w:autoRedefine/>
    <w:qFormat/>
    <w:uiPriority w:val="0"/>
    <w:pPr>
      <w:tabs>
        <w:tab w:val="left" w:pos="360"/>
        <w:tab w:val="left" w:pos="495"/>
        <w:tab w:val="left" w:pos="1200"/>
        <w:tab w:val="left" w:pos="1418"/>
        <w:tab w:val="left" w:pos="1680"/>
        <w:tab w:val="left" w:pos="2100"/>
        <w:tab w:val="left" w:pos="2356"/>
        <w:tab w:val="left" w:pos="2520"/>
        <w:tab w:val="left" w:pos="2781"/>
        <w:tab w:val="left" w:pos="3566"/>
      </w:tabs>
      <w:ind w:left="3260" w:hanging="1134"/>
      <w:outlineLvl w:val="5"/>
    </w:pPr>
  </w:style>
  <w:style w:type="paragraph" w:customStyle="1" w:styleId="346">
    <w:name w:val="三级条标题"/>
    <w:basedOn w:val="313"/>
    <w:next w:val="1"/>
    <w:autoRedefine/>
    <w:qFormat/>
    <w:uiPriority w:val="0"/>
    <w:pPr>
      <w:tabs>
        <w:tab w:val="left" w:pos="2100"/>
        <w:tab w:val="left" w:pos="2781"/>
      </w:tabs>
      <w:ind w:left="2551" w:hanging="850"/>
      <w:outlineLvl w:val="4"/>
    </w:pPr>
  </w:style>
  <w:style w:type="paragraph" w:customStyle="1" w:styleId="347">
    <w:name w:val="Table Body"/>
    <w:basedOn w:val="1"/>
    <w:autoRedefine/>
    <w:qFormat/>
    <w:uiPriority w:val="0"/>
    <w:pPr>
      <w:widowControl/>
      <w:jc w:val="center"/>
    </w:pPr>
    <w:rPr>
      <w:rFonts w:ascii="Arial" w:hAnsi="Arial"/>
      <w:snapToGrid w:val="0"/>
      <w:kern w:val="0"/>
      <w:sz w:val="18"/>
      <w:szCs w:val="20"/>
    </w:rPr>
  </w:style>
  <w:style w:type="paragraph" w:customStyle="1" w:styleId="348">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18"/>
      <w:szCs w:val="18"/>
    </w:rPr>
  </w:style>
  <w:style w:type="paragraph" w:customStyle="1" w:styleId="349">
    <w:name w:val="章节二"/>
    <w:basedOn w:val="184"/>
    <w:next w:val="184"/>
    <w:autoRedefine/>
    <w:qFormat/>
    <w:uiPriority w:val="0"/>
    <w:pPr>
      <w:spacing w:beforeLines="50" w:afterLines="50" w:line="240" w:lineRule="auto"/>
      <w:ind w:firstLine="0" w:firstLineChars="0"/>
      <w:jc w:val="center"/>
      <w:outlineLvl w:val="1"/>
    </w:pPr>
    <w:rPr>
      <w:rFonts w:eastAsia="黑体"/>
      <w:b/>
      <w:sz w:val="30"/>
      <w:szCs w:val="30"/>
    </w:rPr>
  </w:style>
  <w:style w:type="paragraph" w:customStyle="1" w:styleId="350">
    <w:name w:val="biaoge"/>
    <w:basedOn w:val="1"/>
    <w:autoRedefine/>
    <w:qFormat/>
    <w:uiPriority w:val="0"/>
    <w:pPr>
      <w:widowControl/>
      <w:suppressLineNumbers/>
      <w:jc w:val="left"/>
    </w:pPr>
    <w:rPr>
      <w:rFonts w:ascii="宋体" w:hAnsi="宋体"/>
      <w:szCs w:val="21"/>
    </w:rPr>
  </w:style>
  <w:style w:type="paragraph" w:customStyle="1" w:styleId="351">
    <w:name w:val="文本框1"/>
    <w:basedOn w:val="1"/>
    <w:autoRedefine/>
    <w:qFormat/>
    <w:uiPriority w:val="0"/>
    <w:pPr>
      <w:adjustRightInd w:val="0"/>
      <w:spacing w:line="360" w:lineRule="auto"/>
      <w:ind w:hanging="1"/>
      <w:jc w:val="center"/>
      <w:textAlignment w:val="center"/>
    </w:pPr>
    <w:rPr>
      <w:rFonts w:ascii="幼圆" w:hAnsi="宋体" w:eastAsia="幼圆"/>
      <w:kern w:val="28"/>
      <w:sz w:val="24"/>
      <w:szCs w:val="20"/>
      <w:lang w:val="en-GB"/>
    </w:rPr>
  </w:style>
  <w:style w:type="paragraph" w:customStyle="1" w:styleId="352">
    <w:name w:val="xl160"/>
    <w:basedOn w:val="1"/>
    <w:autoRedefine/>
    <w:qFormat/>
    <w:uiPriority w:val="0"/>
    <w:pPr>
      <w:widowControl/>
      <w:pBdr>
        <w:top w:val="double" w:color="auto" w:sz="6" w:space="0"/>
        <w:left w:val="single" w:color="auto" w:sz="4" w:space="0"/>
        <w:bottom w:val="single" w:color="auto" w:sz="4" w:space="0"/>
        <w:right w:val="double" w:color="auto" w:sz="6"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353">
    <w:name w:val="font0"/>
    <w:basedOn w:val="1"/>
    <w:autoRedefine/>
    <w:qFormat/>
    <w:uiPriority w:val="0"/>
    <w:pPr>
      <w:widowControl/>
      <w:spacing w:before="100" w:beforeAutospacing="1" w:after="100" w:afterAutospacing="1"/>
      <w:jc w:val="left"/>
    </w:pPr>
    <w:rPr>
      <w:kern w:val="0"/>
      <w:sz w:val="24"/>
    </w:rPr>
  </w:style>
  <w:style w:type="paragraph" w:customStyle="1" w:styleId="354">
    <w:name w:val="章节三"/>
    <w:basedOn w:val="184"/>
    <w:next w:val="184"/>
    <w:autoRedefine/>
    <w:qFormat/>
    <w:uiPriority w:val="0"/>
    <w:pPr>
      <w:spacing w:beforeLines="50" w:afterLines="50" w:line="240" w:lineRule="auto"/>
      <w:ind w:firstLine="0" w:firstLineChars="0"/>
      <w:jc w:val="left"/>
      <w:outlineLvl w:val="2"/>
    </w:pPr>
    <w:rPr>
      <w:rFonts w:ascii="黑体" w:hAnsi="宋体" w:eastAsia="黑体"/>
      <w:b/>
    </w:rPr>
  </w:style>
  <w:style w:type="paragraph" w:customStyle="1" w:styleId="355">
    <w:name w:val="È±Ê¡ÎÄ±¾"/>
    <w:basedOn w:val="1"/>
    <w:autoRedefine/>
    <w:qFormat/>
    <w:uiPriority w:val="0"/>
    <w:pPr>
      <w:widowControl/>
      <w:overflowPunct w:val="0"/>
      <w:autoSpaceDE w:val="0"/>
      <w:autoSpaceDN w:val="0"/>
      <w:adjustRightInd w:val="0"/>
      <w:spacing w:line="360" w:lineRule="auto"/>
    </w:pPr>
    <w:rPr>
      <w:kern w:val="0"/>
      <w:szCs w:val="20"/>
    </w:rPr>
  </w:style>
  <w:style w:type="paragraph" w:customStyle="1" w:styleId="356">
    <w:name w:val="xl14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357">
    <w:name w:val="xl11922895"/>
    <w:basedOn w:val="1"/>
    <w:autoRedefine/>
    <w:qFormat/>
    <w:uiPriority w:val="0"/>
    <w:pPr>
      <w:widowControl/>
      <w:pBdr>
        <w:left w:val="single" w:color="000000" w:sz="4" w:space="1"/>
        <w:bottom w:val="single" w:color="000000" w:sz="4" w:space="0"/>
        <w:right w:val="single" w:color="000000" w:sz="4" w:space="1"/>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358">
    <w:name w:val="菲页1"/>
    <w:basedOn w:val="3"/>
    <w:autoRedefine/>
    <w:qFormat/>
    <w:uiPriority w:val="0"/>
    <w:pPr>
      <w:widowControl/>
      <w:jc w:val="center"/>
    </w:pPr>
    <w:rPr>
      <w:rFonts w:ascii="黑体" w:hAnsi="宋体"/>
      <w:b w:val="0"/>
      <w:bCs w:val="0"/>
      <w:kern w:val="0"/>
      <w:sz w:val="52"/>
      <w:szCs w:val="20"/>
    </w:rPr>
  </w:style>
  <w:style w:type="paragraph" w:customStyle="1" w:styleId="359">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60">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361">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Arial Narrow" w:eastAsia="Arial Unicode MS" w:cs="Arial Unicode MS"/>
      <w:kern w:val="0"/>
      <w:sz w:val="20"/>
      <w:szCs w:val="20"/>
    </w:rPr>
  </w:style>
  <w:style w:type="paragraph" w:customStyle="1" w:styleId="362">
    <w:name w:val="xl194"/>
    <w:basedOn w:val="1"/>
    <w:autoRedefine/>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48"/>
      <w:szCs w:val="48"/>
      <w:u w:val="double"/>
    </w:rPr>
  </w:style>
  <w:style w:type="paragraph" w:customStyle="1" w:styleId="363">
    <w:name w:val="xl1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18"/>
      <w:szCs w:val="18"/>
    </w:rPr>
  </w:style>
  <w:style w:type="paragraph" w:customStyle="1" w:styleId="36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365">
    <w:name w:val="xl1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0"/>
      <w:szCs w:val="20"/>
    </w:rPr>
  </w:style>
  <w:style w:type="paragraph" w:customStyle="1" w:styleId="366">
    <w:name w:val="xl1522895"/>
    <w:basedOn w:val="1"/>
    <w:autoRedefine/>
    <w:qFormat/>
    <w:uiPriority w:val="0"/>
    <w:pPr>
      <w:widowControl/>
      <w:spacing w:before="100" w:beforeAutospacing="1" w:after="100" w:afterAutospacing="1"/>
      <w:jc w:val="left"/>
      <w:textAlignment w:val="bottom"/>
    </w:pPr>
    <w:rPr>
      <w:rFonts w:ascii="Arial" w:hAnsi="Arial" w:cs="Arial"/>
      <w:color w:val="000000"/>
      <w:kern w:val="0"/>
      <w:sz w:val="20"/>
      <w:szCs w:val="20"/>
    </w:rPr>
  </w:style>
  <w:style w:type="paragraph" w:customStyle="1" w:styleId="367">
    <w:name w:val="font8"/>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368">
    <w:name w:val="题注4"/>
    <w:basedOn w:val="1"/>
    <w:next w:val="16"/>
    <w:autoRedefine/>
    <w:qFormat/>
    <w:uiPriority w:val="0"/>
    <w:pPr>
      <w:spacing w:line="480" w:lineRule="exact"/>
      <w:ind w:firstLine="410" w:firstLineChars="171"/>
    </w:pPr>
    <w:rPr>
      <w:rFonts w:ascii="宋体" w:hAnsi="宋体"/>
      <w:sz w:val="24"/>
    </w:rPr>
  </w:style>
  <w:style w:type="paragraph" w:customStyle="1" w:styleId="369">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0"/>
      <w:szCs w:val="20"/>
    </w:rPr>
  </w:style>
  <w:style w:type="paragraph" w:customStyle="1" w:styleId="370">
    <w:name w:val="xl167"/>
    <w:basedOn w:val="1"/>
    <w:autoRedefine/>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371">
    <w:name w:val="font6"/>
    <w:basedOn w:val="1"/>
    <w:autoRedefine/>
    <w:qFormat/>
    <w:uiPriority w:val="0"/>
    <w:pPr>
      <w:widowControl/>
      <w:spacing w:before="100" w:beforeAutospacing="1" w:after="100" w:afterAutospacing="1"/>
      <w:jc w:val="left"/>
    </w:pPr>
    <w:rPr>
      <w:rFonts w:hint="eastAsia" w:ascii="宋体" w:hAnsi="宋体"/>
      <w:kern w:val="0"/>
      <w:sz w:val="22"/>
      <w:szCs w:val="22"/>
    </w:rPr>
  </w:style>
  <w:style w:type="paragraph" w:customStyle="1" w:styleId="372">
    <w:name w:val="xl12522895"/>
    <w:basedOn w:val="1"/>
    <w:autoRedefine/>
    <w:qFormat/>
    <w:uiPriority w:val="0"/>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373">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74">
    <w:name w:val="普通(Web)1"/>
    <w:basedOn w:val="1"/>
    <w:autoRedefine/>
    <w:qFormat/>
    <w:uiPriority w:val="0"/>
    <w:pPr>
      <w:widowControl/>
      <w:spacing w:before="284" w:line="360" w:lineRule="auto"/>
      <w:jc w:val="left"/>
    </w:pPr>
    <w:rPr>
      <w:rFonts w:ascii="宋体" w:hAnsi="宋体" w:cs="宋体"/>
      <w:kern w:val="0"/>
      <w:sz w:val="24"/>
    </w:rPr>
  </w:style>
  <w:style w:type="paragraph" w:customStyle="1" w:styleId="375">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76">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377">
    <w:name w:val="样式2"/>
    <w:basedOn w:val="32"/>
    <w:autoRedefine/>
    <w:qFormat/>
    <w:uiPriority w:val="0"/>
    <w:pPr>
      <w:tabs>
        <w:tab w:val="right" w:leader="dot" w:pos="9458"/>
        <w:tab w:val="clear" w:pos="9027"/>
      </w:tabs>
      <w:spacing w:line="300" w:lineRule="exact"/>
      <w:ind w:left="630" w:leftChars="300"/>
      <w:jc w:val="left"/>
    </w:pPr>
    <w:rPr>
      <w:rFonts w:ascii="Arial" w:hAnsi="Times New Roman" w:eastAsia="宋体" w:cs="Arial"/>
      <w:iCs/>
      <w:color w:val="000000"/>
    </w:rPr>
  </w:style>
  <w:style w:type="paragraph" w:customStyle="1" w:styleId="378">
    <w:name w:val="小正题"/>
    <w:basedOn w:val="335"/>
    <w:autoRedefine/>
    <w:qFormat/>
    <w:uiPriority w:val="0"/>
    <w:rPr>
      <w:sz w:val="28"/>
    </w:rPr>
  </w:style>
  <w:style w:type="paragraph" w:customStyle="1" w:styleId="379">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kern w:val="0"/>
      <w:sz w:val="22"/>
      <w:szCs w:val="22"/>
      <w:lang w:eastAsia="en-US"/>
    </w:rPr>
  </w:style>
  <w:style w:type="paragraph" w:customStyle="1" w:styleId="380">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81">
    <w:name w:val="xl183"/>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Arial Unicode MS" w:hAnsi="Arial Unicode MS" w:eastAsia="Arial Unicode MS" w:cs="Arial Unicode MS"/>
      <w:kern w:val="0"/>
      <w:sz w:val="18"/>
      <w:szCs w:val="18"/>
    </w:rPr>
  </w:style>
  <w:style w:type="paragraph" w:customStyle="1" w:styleId="382">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83">
    <w:name w:val="表格及流程图内容 Char Char"/>
    <w:basedOn w:val="1"/>
    <w:autoRedefine/>
    <w:qFormat/>
    <w:uiPriority w:val="0"/>
    <w:pPr>
      <w:snapToGrid w:val="0"/>
      <w:jc w:val="center"/>
    </w:pPr>
    <w:rPr>
      <w:rFonts w:eastAsia="华文中宋"/>
      <w:kern w:val="24"/>
      <w:sz w:val="24"/>
    </w:rPr>
  </w:style>
  <w:style w:type="paragraph" w:customStyle="1" w:styleId="384">
    <w:name w:val="五级条标题"/>
    <w:basedOn w:val="345"/>
    <w:next w:val="1"/>
    <w:autoRedefine/>
    <w:qFormat/>
    <w:uiPriority w:val="0"/>
    <w:pPr>
      <w:tabs>
        <w:tab w:val="left" w:pos="2940"/>
        <w:tab w:val="left" w:pos="3991"/>
      </w:tabs>
      <w:ind w:left="3827" w:hanging="1276"/>
      <w:outlineLvl w:val="6"/>
    </w:pPr>
  </w:style>
  <w:style w:type="paragraph" w:customStyle="1" w:styleId="385">
    <w:name w:val="Char"/>
    <w:basedOn w:val="1"/>
    <w:autoRedefine/>
    <w:qFormat/>
    <w:uiPriority w:val="0"/>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386">
    <w:name w:val="表格1"/>
    <w:basedOn w:val="1"/>
    <w:autoRedefine/>
    <w:qFormat/>
    <w:uiPriority w:val="0"/>
    <w:pPr>
      <w:adjustRightInd w:val="0"/>
      <w:snapToGrid w:val="0"/>
      <w:spacing w:line="0" w:lineRule="atLeast"/>
      <w:textAlignment w:val="center"/>
    </w:pPr>
    <w:rPr>
      <w:rFonts w:ascii="宋体"/>
      <w:snapToGrid w:val="0"/>
      <w:kern w:val="0"/>
      <w:szCs w:val="20"/>
    </w:rPr>
  </w:style>
  <w:style w:type="paragraph" w:customStyle="1" w:styleId="387">
    <w:name w:val="xl7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4"/>
    </w:rPr>
  </w:style>
  <w:style w:type="paragraph" w:customStyle="1" w:styleId="388">
    <w:name w:val="样式 标题 6 + 行距: 1.5 倍行距"/>
    <w:basedOn w:val="7"/>
    <w:autoRedefine/>
    <w:qFormat/>
    <w:uiPriority w:val="0"/>
    <w:pPr>
      <w:tabs>
        <w:tab w:val="left" w:pos="-147"/>
        <w:tab w:val="left" w:pos="1065"/>
      </w:tabs>
      <w:adjustRightInd w:val="0"/>
      <w:spacing w:before="0" w:after="0" w:line="360" w:lineRule="auto"/>
      <w:ind w:left="-147" w:firstLine="567"/>
      <w:jc w:val="left"/>
      <w:textAlignment w:val="baseline"/>
    </w:pPr>
    <w:rPr>
      <w:rFonts w:ascii="Times New Roman" w:hAnsi="Times New Roman"/>
      <w:b w:val="0"/>
      <w:bCs/>
      <w:szCs w:val="28"/>
    </w:rPr>
  </w:style>
  <w:style w:type="paragraph" w:customStyle="1" w:styleId="389">
    <w:name w:val="正文内容"/>
    <w:basedOn w:val="1"/>
    <w:autoRedefine/>
    <w:qFormat/>
    <w:uiPriority w:val="0"/>
    <w:rPr>
      <w:rFonts w:ascii="Arial" w:hAnsi="Arial"/>
      <w:spacing w:val="-12"/>
      <w:szCs w:val="20"/>
    </w:rPr>
  </w:style>
  <w:style w:type="paragraph" w:customStyle="1" w:styleId="390">
    <w:name w:val="标题3"/>
    <w:basedOn w:val="4"/>
    <w:next w:val="1"/>
    <w:autoRedefine/>
    <w:qFormat/>
    <w:uiPriority w:val="0"/>
    <w:pPr>
      <w:widowControl/>
      <w:spacing w:before="120" w:after="360" w:line="360" w:lineRule="auto"/>
      <w:jc w:val="center"/>
    </w:pPr>
    <w:rPr>
      <w:rFonts w:ascii="宋体" w:hAnsi="宋体"/>
      <w:bCs w:val="0"/>
      <w:kern w:val="0"/>
      <w:szCs w:val="20"/>
    </w:rPr>
  </w:style>
  <w:style w:type="paragraph" w:customStyle="1" w:styleId="391">
    <w:name w:val="xl158"/>
    <w:basedOn w:val="1"/>
    <w:autoRedefine/>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392">
    <w:name w:val="text1"/>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393">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4">
    <w:name w:val="表格及流程图标题"/>
    <w:basedOn w:val="1"/>
    <w:autoRedefine/>
    <w:qFormat/>
    <w:uiPriority w:val="0"/>
    <w:pPr>
      <w:tabs>
        <w:tab w:val="center" w:pos="4533"/>
        <w:tab w:val="right" w:pos="9065"/>
      </w:tabs>
      <w:snapToGrid w:val="0"/>
      <w:spacing w:beforeLines="25"/>
    </w:pPr>
    <w:rPr>
      <w:rFonts w:eastAsia="华文中宋"/>
      <w:b/>
      <w:sz w:val="28"/>
      <w:szCs w:val="20"/>
    </w:rPr>
  </w:style>
  <w:style w:type="paragraph" w:customStyle="1" w:styleId="395">
    <w:name w:val="xl11522895"/>
    <w:basedOn w:val="1"/>
    <w:autoRedefine/>
    <w:qFormat/>
    <w:uiPriority w:val="0"/>
    <w:pPr>
      <w:widowControl/>
      <w:pBdr>
        <w:top w:val="single" w:color="000000" w:sz="4" w:space="1"/>
        <w:left w:val="single" w:color="000000" w:sz="4" w:space="1"/>
        <w:bottom w:val="single" w:color="000000" w:sz="4" w:space="0"/>
        <w:right w:val="single" w:color="000000" w:sz="4" w:space="1"/>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396">
    <w:name w:val="xl71"/>
    <w:basedOn w:val="1"/>
    <w:autoRedefine/>
    <w:qFormat/>
    <w:uiPriority w:val="0"/>
    <w:pPr>
      <w:widowControl/>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397">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398">
    <w:name w:val="xl192"/>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399">
    <w:name w:val="Char Char Char1 Char"/>
    <w:basedOn w:val="19"/>
    <w:autoRedefine/>
    <w:qFormat/>
    <w:uiPriority w:val="0"/>
    <w:rPr>
      <w:rFonts w:ascii="Tahoma" w:hAnsi="Tahoma"/>
      <w:sz w:val="24"/>
    </w:rPr>
  </w:style>
  <w:style w:type="paragraph" w:customStyle="1" w:styleId="400">
    <w:name w:val="xl155"/>
    <w:basedOn w:val="1"/>
    <w:autoRedefine/>
    <w:qFormat/>
    <w:uiPriority w:val="0"/>
    <w:pPr>
      <w:widowControl/>
      <w:spacing w:before="100" w:beforeAutospacing="1" w:after="100" w:afterAutospacing="1"/>
      <w:jc w:val="right"/>
      <w:textAlignment w:val="center"/>
    </w:pPr>
    <w:rPr>
      <w:rFonts w:ascii="Arial Unicode MS" w:hAnsi="Arial Unicode MS" w:eastAsia="Arial Unicode MS" w:cs="Arial Unicode MS"/>
      <w:kern w:val="0"/>
      <w:sz w:val="48"/>
      <w:szCs w:val="48"/>
      <w:u w:val="double"/>
    </w:rPr>
  </w:style>
  <w:style w:type="paragraph" w:customStyle="1" w:styleId="401">
    <w:name w:val="Char Char Char1 Char Char"/>
    <w:basedOn w:val="1"/>
    <w:autoRedefine/>
    <w:qFormat/>
    <w:uiPriority w:val="0"/>
  </w:style>
  <w:style w:type="paragraph" w:customStyle="1" w:styleId="402">
    <w:name w:val="Char Char Char Char Char Char Char Char Char Char Char Char Char Char Char Char Char Char Char Char"/>
    <w:basedOn w:val="1"/>
    <w:autoRedefine/>
    <w:qFormat/>
    <w:uiPriority w:val="0"/>
    <w:rPr>
      <w:rFonts w:ascii="楷体_GB2312" w:eastAsia="楷体_GB2312"/>
      <w:kern w:val="0"/>
      <w:sz w:val="24"/>
      <w:u w:val="single"/>
    </w:rPr>
  </w:style>
  <w:style w:type="paragraph" w:customStyle="1" w:styleId="403">
    <w:name w:val="正文样式"/>
    <w:basedOn w:val="1"/>
    <w:autoRedefine/>
    <w:qFormat/>
    <w:uiPriority w:val="0"/>
    <w:pPr>
      <w:tabs>
        <w:tab w:val="left" w:pos="1140"/>
      </w:tabs>
      <w:spacing w:before="163" w:after="163" w:line="300" w:lineRule="auto"/>
      <w:ind w:left="1140" w:hanging="420"/>
    </w:pPr>
    <w:rPr>
      <w:rFonts w:ascii="宋体"/>
      <w:sz w:val="24"/>
    </w:rPr>
  </w:style>
  <w:style w:type="paragraph" w:customStyle="1" w:styleId="404">
    <w:name w:val="普通 (Web)"/>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05">
    <w:name w:val="样式 标题 5 + 小四 行距: 1.5 倍行距"/>
    <w:basedOn w:val="6"/>
    <w:autoRedefine/>
    <w:qFormat/>
    <w:uiPriority w:val="0"/>
    <w:pPr>
      <w:adjustRightInd w:val="0"/>
      <w:spacing w:before="0" w:after="0" w:line="360" w:lineRule="auto"/>
      <w:jc w:val="left"/>
      <w:textAlignment w:val="baseline"/>
    </w:pPr>
    <w:rPr>
      <w:rFonts w:eastAsia="黑体"/>
      <w:bCs w:val="0"/>
      <w:color w:val="000000"/>
      <w:lang w:val="zh-CN"/>
    </w:rPr>
  </w:style>
  <w:style w:type="paragraph" w:customStyle="1" w:styleId="406">
    <w:name w:val="xl15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40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8">
    <w:name w:val="前言、引言标题"/>
    <w:next w:val="1"/>
    <w:autoRedefine/>
    <w:qFormat/>
    <w:uiPriority w:val="0"/>
    <w:pPr>
      <w:shd w:val="clear" w:color="auto" w:fill="FFFFFF"/>
      <w:tabs>
        <w:tab w:val="left" w:pos="360"/>
        <w:tab w:val="left" w:pos="480"/>
      </w:tabs>
      <w:spacing w:before="640" w:after="560"/>
      <w:ind w:left="480" w:hanging="360"/>
      <w:jc w:val="center"/>
      <w:outlineLvl w:val="0"/>
    </w:pPr>
    <w:rPr>
      <w:rFonts w:ascii="黑体" w:hAnsi="Times New Roman" w:eastAsia="黑体" w:cs="Times New Roman"/>
      <w:sz w:val="32"/>
      <w:lang w:val="en-US" w:eastAsia="zh-CN" w:bidi="ar-SA"/>
    </w:rPr>
  </w:style>
  <w:style w:type="paragraph" w:customStyle="1" w:styleId="409">
    <w:name w:val="样式3"/>
    <w:basedOn w:val="32"/>
    <w:autoRedefine/>
    <w:qFormat/>
    <w:uiPriority w:val="0"/>
    <w:pPr>
      <w:tabs>
        <w:tab w:val="right" w:leader="dot" w:pos="9458"/>
        <w:tab w:val="clear" w:pos="9027"/>
      </w:tabs>
      <w:spacing w:line="300" w:lineRule="exact"/>
      <w:ind w:left="630" w:leftChars="300"/>
      <w:jc w:val="left"/>
    </w:pPr>
    <w:rPr>
      <w:rFonts w:ascii="Times New Roman" w:hAnsi="Times New Roman" w:eastAsia="宋体"/>
      <w:iCs/>
      <w:color w:val="000000"/>
    </w:rPr>
  </w:style>
  <w:style w:type="paragraph" w:customStyle="1" w:styleId="410">
    <w:name w:val="结构图及表格"/>
    <w:basedOn w:val="328"/>
    <w:autoRedefine/>
    <w:qFormat/>
    <w:uiPriority w:val="0"/>
    <w:rPr>
      <w:sz w:val="21"/>
    </w:rPr>
  </w:style>
  <w:style w:type="paragraph" w:customStyle="1" w:styleId="411">
    <w:name w:val="jyx2"/>
    <w:basedOn w:val="3"/>
    <w:next w:val="1"/>
    <w:autoRedefine/>
    <w:qFormat/>
    <w:uiPriority w:val="0"/>
    <w:pPr>
      <w:snapToGrid w:val="0"/>
      <w:spacing w:beforeLines="50" w:line="300" w:lineRule="auto"/>
      <w:outlineLvl w:val="0"/>
    </w:pPr>
    <w:rPr>
      <w:rFonts w:ascii="宋体" w:hAnsi="宋体"/>
      <w:bCs w:val="0"/>
      <w:snapToGrid w:val="0"/>
      <w:color w:val="000099"/>
      <w:spacing w:val="20"/>
      <w:kern w:val="0"/>
      <w:sz w:val="30"/>
      <w:szCs w:val="21"/>
    </w:rPr>
  </w:style>
  <w:style w:type="paragraph" w:customStyle="1" w:styleId="41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13">
    <w:name w:val="_Style 412"/>
    <w:basedOn w:val="2"/>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14">
    <w:name w:val="图文"/>
    <w:basedOn w:val="1"/>
    <w:autoRedefine/>
    <w:qFormat/>
    <w:uiPriority w:val="0"/>
    <w:pPr>
      <w:snapToGrid w:val="0"/>
      <w:jc w:val="center"/>
    </w:pPr>
    <w:rPr>
      <w:rFonts w:eastAsia="华文中宋"/>
      <w:kern w:val="24"/>
      <w:sz w:val="24"/>
      <w:szCs w:val="28"/>
    </w:rPr>
  </w:style>
  <w:style w:type="paragraph" w:customStyle="1" w:styleId="415">
    <w:name w:val="font10"/>
    <w:basedOn w:val="1"/>
    <w:autoRedefine/>
    <w:qFormat/>
    <w:uiPriority w:val="0"/>
    <w:pPr>
      <w:widowControl/>
      <w:spacing w:before="100" w:beforeAutospacing="1" w:after="100" w:afterAutospacing="1"/>
      <w:jc w:val="left"/>
    </w:pPr>
    <w:rPr>
      <w:rFonts w:eastAsia="Arial Unicode MS"/>
      <w:b/>
      <w:bCs/>
      <w:kern w:val="0"/>
      <w:sz w:val="20"/>
      <w:szCs w:val="20"/>
    </w:rPr>
  </w:style>
  <w:style w:type="paragraph" w:customStyle="1" w:styleId="416">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17">
    <w:name w:val="封四"/>
    <w:basedOn w:val="184"/>
    <w:next w:val="184"/>
    <w:autoRedefine/>
    <w:qFormat/>
    <w:uiPriority w:val="0"/>
    <w:pPr>
      <w:jc w:val="left"/>
    </w:pPr>
    <w:rPr>
      <w:sz w:val="30"/>
      <w:szCs w:val="30"/>
    </w:rPr>
  </w:style>
  <w:style w:type="paragraph" w:customStyle="1" w:styleId="418">
    <w:name w:val="xl12222895"/>
    <w:basedOn w:val="1"/>
    <w:autoRedefine/>
    <w:qFormat/>
    <w:uiPriority w:val="0"/>
    <w:pPr>
      <w:widowControl/>
      <w:spacing w:before="100" w:beforeAutospacing="1" w:after="100" w:afterAutospacing="1"/>
      <w:jc w:val="left"/>
      <w:textAlignment w:val="top"/>
    </w:pPr>
    <w:rPr>
      <w:rFonts w:ascii="宋体" w:hAnsi="宋体" w:cs="宋体"/>
      <w:color w:val="000000"/>
      <w:kern w:val="0"/>
      <w:sz w:val="18"/>
      <w:szCs w:val="18"/>
    </w:rPr>
  </w:style>
  <w:style w:type="paragraph" w:customStyle="1" w:styleId="419">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57"/>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w:hAnsi="Arial" w:eastAsia="Arial Unicode MS" w:cs="Arial"/>
      <w:kern w:val="0"/>
      <w:sz w:val="22"/>
      <w:szCs w:val="22"/>
      <w:lang w:eastAsia="en-US"/>
    </w:rPr>
  </w:style>
  <w:style w:type="paragraph" w:customStyle="1" w:styleId="421">
    <w:name w:val="_Style 420"/>
    <w:autoRedefine/>
    <w:qFormat/>
    <w:uiPriority w:val="0"/>
    <w:rPr>
      <w:rFonts w:ascii="Times New Roman" w:hAnsi="Times New Roman" w:eastAsia="宋体" w:cs="Times New Roman"/>
      <w:kern w:val="2"/>
      <w:sz w:val="21"/>
      <w:szCs w:val="24"/>
      <w:lang w:val="en-US" w:eastAsia="zh-CN" w:bidi="ar-SA"/>
    </w:rPr>
  </w:style>
  <w:style w:type="paragraph" w:customStyle="1" w:styleId="422">
    <w:name w:val="xl69"/>
    <w:basedOn w:val="1"/>
    <w:autoRedefine/>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423">
    <w:name w:val="表项"/>
    <w:next w:val="314"/>
    <w:autoRedefine/>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424">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创艺繁仿宋" w:hAnsi="Arial Unicode MS" w:eastAsia="创艺繁仿宋" w:cs="Arial Unicode MS"/>
      <w:kern w:val="0"/>
      <w:sz w:val="24"/>
    </w:rPr>
  </w:style>
  <w:style w:type="paragraph" w:customStyle="1" w:styleId="425">
    <w:name w:val="xl196"/>
    <w:basedOn w:val="1"/>
    <w:autoRedefine/>
    <w:qFormat/>
    <w:uiPriority w:val="0"/>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426">
    <w:name w:val="xl182"/>
    <w:basedOn w:val="1"/>
    <w:autoRedefine/>
    <w:qFormat/>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427">
    <w:name w:val="xl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Arial Unicode MS" w:cs="Arial"/>
      <w:kern w:val="0"/>
      <w:sz w:val="22"/>
      <w:szCs w:val="22"/>
      <w:lang w:eastAsia="en-US"/>
    </w:rPr>
  </w:style>
  <w:style w:type="paragraph" w:customStyle="1" w:styleId="428">
    <w:name w:val="题注2"/>
    <w:basedOn w:val="288"/>
    <w:next w:val="16"/>
    <w:autoRedefine/>
    <w:qFormat/>
    <w:uiPriority w:val="0"/>
  </w:style>
  <w:style w:type="paragraph" w:customStyle="1" w:styleId="429">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430">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431">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创艺繁仿宋" w:hAnsi="Arial Unicode MS" w:eastAsia="创艺繁仿宋" w:cs="Arial Unicode MS"/>
      <w:kern w:val="0"/>
      <w:sz w:val="24"/>
    </w:rPr>
  </w:style>
  <w:style w:type="paragraph" w:customStyle="1" w:styleId="432">
    <w:name w:val="xl85"/>
    <w:basedOn w:val="1"/>
    <w:autoRedefine/>
    <w:qFormat/>
    <w:uiPriority w:val="0"/>
    <w:pPr>
      <w:widowControl/>
      <w:shd w:val="clear" w:color="FFFFFF" w:fill="FFFFFF"/>
      <w:spacing w:before="100" w:beforeAutospacing="1" w:after="100" w:afterAutospacing="1"/>
      <w:jc w:val="center"/>
      <w:textAlignment w:val="center"/>
    </w:pPr>
    <w:rPr>
      <w:rFonts w:ascii="宋体" w:hAnsi="宋体" w:cs="宋体"/>
      <w:color w:val="000000"/>
      <w:kern w:val="0"/>
      <w:sz w:val="24"/>
      <w:u w:val="single"/>
    </w:rPr>
  </w:style>
  <w:style w:type="paragraph" w:customStyle="1" w:styleId="433">
    <w:name w:val="公文标题"/>
    <w:basedOn w:val="4"/>
    <w:autoRedefine/>
    <w:qFormat/>
    <w:uiPriority w:val="0"/>
    <w:pPr>
      <w:ind w:left="1469" w:right="1542"/>
      <w:jc w:val="center"/>
    </w:pPr>
    <w:rPr>
      <w:bCs w:val="0"/>
      <w:sz w:val="44"/>
      <w:szCs w:val="24"/>
    </w:rPr>
  </w:style>
  <w:style w:type="paragraph" w:customStyle="1" w:styleId="434">
    <w:name w:val="xl12622895"/>
    <w:basedOn w:val="1"/>
    <w:autoRedefine/>
    <w:qFormat/>
    <w:uiPriority w:val="0"/>
    <w:pPr>
      <w:widowControl/>
      <w:pBdr>
        <w:left w:val="single" w:color="000000" w:sz="4" w:space="1"/>
        <w:bottom w:val="single" w:color="000000" w:sz="4" w:space="0"/>
        <w:right w:val="single" w:color="000000" w:sz="4" w:space="1"/>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435">
    <w:name w:val="表格及流程图内容"/>
    <w:basedOn w:val="1"/>
    <w:autoRedefine/>
    <w:qFormat/>
    <w:uiPriority w:val="0"/>
    <w:pPr>
      <w:snapToGrid w:val="0"/>
      <w:jc w:val="center"/>
    </w:pPr>
    <w:rPr>
      <w:rFonts w:eastAsia="华文中宋"/>
      <w:kern w:val="24"/>
      <w:sz w:val="24"/>
      <w:szCs w:val="20"/>
    </w:rPr>
  </w:style>
  <w:style w:type="paragraph" w:customStyle="1" w:styleId="436">
    <w:name w:val="xl11722895"/>
    <w:basedOn w:val="1"/>
    <w:autoRedefine/>
    <w:qFormat/>
    <w:uiPriority w:val="0"/>
    <w:pPr>
      <w:widowControl/>
      <w:pBdr>
        <w:top w:val="single" w:color="000000" w:sz="4" w:space="1"/>
        <w:left w:val="single" w:color="000000" w:sz="4" w:space="1"/>
        <w:bottom w:val="single" w:color="000000" w:sz="4" w:space="0"/>
        <w:right w:val="single" w:color="000000" w:sz="4" w:space="1"/>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437">
    <w:name w:val="Char Char Char Char Char Char Char Char Char1"/>
    <w:basedOn w:val="19"/>
    <w:autoRedefine/>
    <w:qFormat/>
    <w:uiPriority w:val="0"/>
    <w:rPr>
      <w:rFonts w:ascii="Tahoma" w:hAnsi="Tahoma"/>
      <w:sz w:val="24"/>
    </w:rPr>
  </w:style>
  <w:style w:type="paragraph" w:customStyle="1" w:styleId="438">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9">
    <w:name w:val="xl145"/>
    <w:basedOn w:val="1"/>
    <w:autoRedefine/>
    <w:qFormat/>
    <w:uiPriority w:val="0"/>
    <w:pPr>
      <w:widowControl/>
      <w:pBdr>
        <w:top w:val="double" w:color="auto" w:sz="6"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440">
    <w:name w:val="文档正文"/>
    <w:basedOn w:val="1"/>
    <w:autoRedefine/>
    <w:qFormat/>
    <w:uiPriority w:val="0"/>
    <w:rPr>
      <w:rFonts w:ascii="Arial" w:hAnsi="Arial" w:cs="Arial"/>
      <w:bCs/>
      <w:sz w:val="24"/>
    </w:rPr>
  </w:style>
  <w:style w:type="paragraph" w:customStyle="1" w:styleId="44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442">
    <w:name w:val="xl59"/>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w:hAnsi="Arial" w:eastAsia="Arial Unicode MS" w:cs="Arial"/>
      <w:b/>
      <w:bCs/>
      <w:kern w:val="0"/>
      <w:sz w:val="22"/>
      <w:szCs w:val="22"/>
      <w:u w:val="single"/>
      <w:lang w:eastAsia="en-US"/>
    </w:rPr>
  </w:style>
  <w:style w:type="paragraph" w:customStyle="1" w:styleId="443">
    <w:name w:val="正方框图"/>
    <w:basedOn w:val="1"/>
    <w:autoRedefine/>
    <w:qFormat/>
    <w:uiPriority w:val="0"/>
    <w:pPr>
      <w:snapToGrid w:val="0"/>
      <w:jc w:val="center"/>
    </w:pPr>
    <w:rPr>
      <w:sz w:val="24"/>
      <w:szCs w:val="20"/>
    </w:rPr>
  </w:style>
  <w:style w:type="paragraph" w:customStyle="1" w:styleId="444">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character" w:customStyle="1" w:styleId="445">
    <w:name w:val="mode1"/>
    <w:autoRedefine/>
    <w:qFormat/>
    <w:uiPriority w:val="0"/>
    <w:rPr>
      <w:color w:val="444444"/>
      <w:sz w:val="18"/>
      <w:szCs w:val="18"/>
    </w:rPr>
  </w:style>
  <w:style w:type="character" w:customStyle="1" w:styleId="446">
    <w:name w:val="style1"/>
    <w:autoRedefine/>
    <w:qFormat/>
    <w:uiPriority w:val="0"/>
  </w:style>
  <w:style w:type="character" w:customStyle="1" w:styleId="447">
    <w:name w:val="标准正文 Char"/>
    <w:link w:val="448"/>
    <w:autoRedefine/>
    <w:qFormat/>
    <w:uiPriority w:val="0"/>
    <w:rPr>
      <w:rFonts w:ascii="宋体" w:hAnsi="宋体"/>
      <w:kern w:val="2"/>
      <w:sz w:val="24"/>
    </w:rPr>
  </w:style>
  <w:style w:type="paragraph" w:customStyle="1" w:styleId="448">
    <w:name w:val="标准正文"/>
    <w:basedOn w:val="1"/>
    <w:link w:val="447"/>
    <w:autoRedefine/>
    <w:qFormat/>
    <w:uiPriority w:val="0"/>
    <w:pPr>
      <w:spacing w:line="360" w:lineRule="auto"/>
      <w:ind w:firstLine="360" w:firstLineChars="150"/>
    </w:pPr>
    <w:rPr>
      <w:rFonts w:ascii="宋体" w:hAnsi="宋体"/>
      <w:sz w:val="24"/>
      <w:szCs w:val="20"/>
    </w:rPr>
  </w:style>
  <w:style w:type="character" w:customStyle="1" w:styleId="449">
    <w:name w:val="9font"/>
    <w:autoRedefine/>
    <w:qFormat/>
    <w:uiPriority w:val="0"/>
  </w:style>
  <w:style w:type="character" w:customStyle="1" w:styleId="450">
    <w:name w:val="font14"/>
    <w:autoRedefine/>
    <w:qFormat/>
    <w:uiPriority w:val="0"/>
  </w:style>
  <w:style w:type="character" w:customStyle="1" w:styleId="451">
    <w:name w:val="blue"/>
    <w:autoRedefine/>
    <w:qFormat/>
    <w:uiPriority w:val="0"/>
  </w:style>
  <w:style w:type="character" w:customStyle="1" w:styleId="452">
    <w:name w:val="line1"/>
    <w:autoRedefine/>
    <w:qFormat/>
    <w:uiPriority w:val="0"/>
  </w:style>
  <w:style w:type="character" w:customStyle="1" w:styleId="453">
    <w:name w:val="3zw1"/>
    <w:autoRedefine/>
    <w:qFormat/>
    <w:uiPriority w:val="0"/>
    <w:rPr>
      <w:color w:val="000000"/>
      <w:sz w:val="21"/>
      <w:szCs w:val="21"/>
    </w:rPr>
  </w:style>
  <w:style w:type="character" w:customStyle="1" w:styleId="454">
    <w:name w:val="hui3"/>
    <w:autoRedefine/>
    <w:qFormat/>
    <w:uiPriority w:val="0"/>
    <w:rPr>
      <w:color w:val="333333"/>
    </w:rPr>
  </w:style>
  <w:style w:type="character" w:customStyle="1" w:styleId="455">
    <w:name w:val="contentheaderrev"/>
    <w:autoRedefine/>
    <w:qFormat/>
    <w:uiPriority w:val="0"/>
  </w:style>
  <w:style w:type="character" w:customStyle="1" w:styleId="456">
    <w:name w:val="com1"/>
    <w:autoRedefine/>
    <w:qFormat/>
    <w:uiPriority w:val="0"/>
    <w:rPr>
      <w:sz w:val="20"/>
      <w:szCs w:val="20"/>
    </w:rPr>
  </w:style>
  <w:style w:type="character" w:customStyle="1" w:styleId="457">
    <w:name w:val="普通文字1 Char1"/>
    <w:autoRedefine/>
    <w:qFormat/>
    <w:uiPriority w:val="0"/>
    <w:rPr>
      <w:rFonts w:ascii="宋体" w:hAnsi="Courier New" w:eastAsia="宋体" w:cs="Courier New"/>
      <w:kern w:val="2"/>
      <w:sz w:val="21"/>
      <w:szCs w:val="21"/>
      <w:lang w:val="en-US" w:eastAsia="zh-CN" w:bidi="ar-SA"/>
    </w:rPr>
  </w:style>
  <w:style w:type="character" w:customStyle="1" w:styleId="458">
    <w:name w:val="unnamed11"/>
    <w:autoRedefine/>
    <w:qFormat/>
    <w:uiPriority w:val="0"/>
    <w:rPr>
      <w:sz w:val="18"/>
      <w:szCs w:val="18"/>
    </w:rPr>
  </w:style>
  <w:style w:type="character" w:customStyle="1" w:styleId="459">
    <w:name w:val="c_menu_font"/>
    <w:autoRedefine/>
    <w:qFormat/>
    <w:uiPriority w:val="0"/>
  </w:style>
  <w:style w:type="character" w:customStyle="1" w:styleId="460">
    <w:name w:val="Heading 14 Char"/>
    <w:autoRedefine/>
    <w:semiHidden/>
    <w:qFormat/>
    <w:uiPriority w:val="0"/>
    <w:rPr>
      <w:rFonts w:ascii="Arial" w:hAnsi="Arial" w:eastAsia="黑体"/>
      <w:b/>
      <w:bCs/>
      <w:kern w:val="2"/>
      <w:sz w:val="28"/>
      <w:szCs w:val="28"/>
      <w:lang w:val="en-US" w:eastAsia="zh-CN" w:bidi="ar-SA"/>
    </w:rPr>
  </w:style>
  <w:style w:type="character" w:customStyle="1" w:styleId="461">
    <w:name w:val="apple-style-span"/>
    <w:autoRedefine/>
    <w:qFormat/>
    <w:uiPriority w:val="0"/>
  </w:style>
  <w:style w:type="character" w:customStyle="1" w:styleId="462">
    <w:name w:val="productrig-detailmore-textmore"/>
    <w:autoRedefine/>
    <w:qFormat/>
    <w:uiPriority w:val="0"/>
  </w:style>
  <w:style w:type="character" w:customStyle="1" w:styleId="463">
    <w:name w:val="param_td12"/>
    <w:autoRedefine/>
    <w:qFormat/>
    <w:uiPriority w:val="0"/>
  </w:style>
  <w:style w:type="character" w:customStyle="1" w:styleId="464">
    <w:name w:val="font61"/>
    <w:autoRedefine/>
    <w:qFormat/>
    <w:uiPriority w:val="0"/>
    <w:rPr>
      <w:rFonts w:hint="default" w:ascii="MS Sans Serif" w:hAnsi="MS Sans Serif" w:eastAsia="MS Sans Serif" w:cs="MS Sans Serif"/>
      <w:color w:val="000000"/>
      <w:sz w:val="20"/>
      <w:szCs w:val="20"/>
      <w:u w:val="none"/>
    </w:rPr>
  </w:style>
  <w:style w:type="character" w:customStyle="1" w:styleId="465">
    <w:name w:val="px14"/>
    <w:autoRedefine/>
    <w:qFormat/>
    <w:uiPriority w:val="0"/>
  </w:style>
  <w:style w:type="character" w:customStyle="1" w:styleId="466">
    <w:name w:val="font31"/>
    <w:autoRedefine/>
    <w:qFormat/>
    <w:uiPriority w:val="0"/>
    <w:rPr>
      <w:rFonts w:hint="eastAsia" w:ascii="宋体" w:hAnsi="宋体" w:eastAsia="宋体" w:cs="宋体"/>
      <w:color w:val="000000"/>
      <w:sz w:val="18"/>
      <w:szCs w:val="18"/>
      <w:u w:val="none"/>
    </w:rPr>
  </w:style>
  <w:style w:type="character" w:customStyle="1" w:styleId="467">
    <w:name w:val="！正文（四号字） Char Char"/>
    <w:link w:val="468"/>
    <w:autoRedefine/>
    <w:qFormat/>
    <w:uiPriority w:val="0"/>
    <w:rPr>
      <w:kern w:val="2"/>
      <w:sz w:val="24"/>
      <w:szCs w:val="28"/>
      <w:lang w:val="en-US" w:eastAsia="zh-CN" w:bidi="ar-SA"/>
    </w:rPr>
  </w:style>
  <w:style w:type="paragraph" w:customStyle="1" w:styleId="468">
    <w:name w:val="！正文（四号字）"/>
    <w:link w:val="467"/>
    <w:autoRedefine/>
    <w:qFormat/>
    <w:uiPriority w:val="0"/>
    <w:pPr>
      <w:snapToGrid w:val="0"/>
      <w:spacing w:line="360" w:lineRule="auto"/>
      <w:ind w:firstLine="200" w:firstLineChars="200"/>
      <w:jc w:val="both"/>
    </w:pPr>
    <w:rPr>
      <w:rFonts w:ascii="Times New Roman" w:hAnsi="Times New Roman" w:eastAsia="宋体" w:cs="Times New Roman"/>
      <w:kern w:val="2"/>
      <w:sz w:val="24"/>
      <w:szCs w:val="28"/>
      <w:lang w:val="en-US" w:eastAsia="zh-CN" w:bidi="ar-SA"/>
    </w:rPr>
  </w:style>
  <w:style w:type="character" w:customStyle="1" w:styleId="469">
    <w:name w:val="style141"/>
    <w:autoRedefine/>
    <w:qFormat/>
    <w:uiPriority w:val="0"/>
    <w:rPr>
      <w:color w:val="003399"/>
    </w:rPr>
  </w:style>
  <w:style w:type="character" w:customStyle="1" w:styleId="470">
    <w:name w:val="Heading 14 Char1"/>
    <w:autoRedefine/>
    <w:semiHidden/>
    <w:qFormat/>
    <w:uiPriority w:val="0"/>
    <w:rPr>
      <w:rFonts w:ascii="Arial" w:hAnsi="Arial" w:eastAsia="黑体"/>
      <w:b/>
      <w:bCs/>
      <w:kern w:val="2"/>
      <w:sz w:val="28"/>
      <w:szCs w:val="28"/>
      <w:lang w:val="en-US" w:eastAsia="zh-CN" w:bidi="ar-SA"/>
    </w:rPr>
  </w:style>
  <w:style w:type="character" w:customStyle="1" w:styleId="471">
    <w:name w:val="正文文字 2 Char"/>
    <w:autoRedefine/>
    <w:qFormat/>
    <w:uiPriority w:val="0"/>
    <w:rPr>
      <w:rFonts w:ascii="Arial" w:hAnsi="Arial" w:eastAsia="宋体"/>
      <w:b/>
      <w:bCs/>
      <w:kern w:val="2"/>
      <w:sz w:val="24"/>
      <w:szCs w:val="24"/>
      <w:lang w:val="en-US" w:eastAsia="zh-CN" w:bidi="ar-SA"/>
    </w:rPr>
  </w:style>
  <w:style w:type="character" w:customStyle="1" w:styleId="472">
    <w:name w:val="point_normal"/>
    <w:autoRedefine/>
    <w:qFormat/>
    <w:uiPriority w:val="0"/>
  </w:style>
  <w:style w:type="character" w:customStyle="1" w:styleId="473">
    <w:name w:val="正文小标题 Char"/>
    <w:autoRedefine/>
    <w:qFormat/>
    <w:uiPriority w:val="0"/>
    <w:rPr>
      <w:rFonts w:ascii="仿宋_GB2312" w:eastAsia="仿宋_GB2312"/>
      <w:kern w:val="2"/>
      <w:sz w:val="32"/>
      <w:lang w:val="en-US" w:eastAsia="zh-CN" w:bidi="ar-SA"/>
    </w:rPr>
  </w:style>
  <w:style w:type="character" w:customStyle="1" w:styleId="474">
    <w:name w:val="正文文字缩进 Char"/>
    <w:autoRedefine/>
    <w:qFormat/>
    <w:uiPriority w:val="0"/>
    <w:rPr>
      <w:rFonts w:eastAsia="宋体"/>
      <w:sz w:val="21"/>
      <w:lang w:val="en-US" w:eastAsia="zh-CN" w:bidi="ar-SA"/>
    </w:rPr>
  </w:style>
  <w:style w:type="character" w:customStyle="1" w:styleId="475">
    <w:name w:val="style5"/>
    <w:autoRedefine/>
    <w:qFormat/>
    <w:uiPriority w:val="0"/>
  </w:style>
  <w:style w:type="character" w:customStyle="1" w:styleId="476">
    <w:name w:val="style191"/>
    <w:autoRedefine/>
    <w:qFormat/>
    <w:uiPriority w:val="0"/>
    <w:rPr>
      <w:color w:val="000000"/>
    </w:rPr>
  </w:style>
  <w:style w:type="paragraph" w:customStyle="1" w:styleId="477">
    <w:name w:val="Char1 Char Char Char"/>
    <w:basedOn w:val="1"/>
    <w:autoRedefine/>
    <w:qFormat/>
    <w:uiPriority w:val="0"/>
    <w:rPr>
      <w:rFonts w:ascii="宋体" w:hAnsi="宋体"/>
      <w:sz w:val="24"/>
      <w:szCs w:val="32"/>
    </w:rPr>
  </w:style>
  <w:style w:type="paragraph" w:customStyle="1" w:styleId="478">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79">
    <w:name w:val="3.3.X"/>
    <w:basedOn w:val="4"/>
    <w:autoRedefine/>
    <w:qFormat/>
    <w:uiPriority w:val="0"/>
    <w:pPr>
      <w:tabs>
        <w:tab w:val="left" w:pos="960"/>
        <w:tab w:val="left" w:pos="1260"/>
      </w:tabs>
      <w:adjustRightInd w:val="0"/>
      <w:spacing w:after="0" w:afterLines="0" w:line="360" w:lineRule="auto"/>
      <w:ind w:left="1260" w:hanging="420"/>
      <w:textAlignment w:val="baseline"/>
    </w:pPr>
    <w:rPr>
      <w:rFonts w:ascii="宋体" w:hAnsi="宋体" w:cs="宋体"/>
      <w:kern w:val="0"/>
      <w:szCs w:val="20"/>
    </w:rPr>
  </w:style>
  <w:style w:type="paragraph" w:customStyle="1" w:styleId="480">
    <w:name w:val="样式 标题 2标题 1.1部分标题2nd levelh22Header 2l2Heading 2 Hidden..."/>
    <w:basedOn w:val="3"/>
    <w:next w:val="3"/>
    <w:autoRedefine/>
    <w:qFormat/>
    <w:uiPriority w:val="0"/>
    <w:pPr>
      <w:tabs>
        <w:tab w:val="left" w:pos="567"/>
        <w:tab w:val="left" w:pos="840"/>
      </w:tabs>
      <w:spacing w:before="260" w:after="260" w:afterLines="0" w:line="416" w:lineRule="auto"/>
      <w:ind w:left="840" w:leftChars="0" w:hanging="420" w:firstLineChars="0"/>
    </w:pPr>
    <w:rPr>
      <w:rFonts w:ascii="宋体" w:hAnsi="宋体"/>
      <w:bCs w:val="0"/>
      <w:sz w:val="21"/>
      <w:szCs w:val="21"/>
    </w:rPr>
  </w:style>
  <w:style w:type="paragraph" w:customStyle="1" w:styleId="481">
    <w:name w:val="Char1 Char Char Char1"/>
    <w:basedOn w:val="1"/>
    <w:autoRedefine/>
    <w:qFormat/>
    <w:uiPriority w:val="0"/>
    <w:pPr>
      <w:ind w:left="420" w:hanging="420"/>
    </w:pPr>
    <w:rPr>
      <w:sz w:val="24"/>
    </w:rPr>
  </w:style>
  <w:style w:type="paragraph" w:customStyle="1" w:styleId="482">
    <w:name w:val="表格正文"/>
    <w:basedOn w:val="1"/>
    <w:autoRedefine/>
    <w:qFormat/>
    <w:uiPriority w:val="0"/>
    <w:pPr>
      <w:tabs>
        <w:tab w:val="left" w:pos="420"/>
      </w:tabs>
      <w:spacing w:before="60" w:after="60"/>
    </w:pPr>
    <w:rPr>
      <w:szCs w:val="20"/>
    </w:rPr>
  </w:style>
  <w:style w:type="paragraph" w:customStyle="1" w:styleId="483">
    <w:name w:val="BT1"/>
    <w:basedOn w:val="25"/>
    <w:autoRedefine/>
    <w:qFormat/>
    <w:uiPriority w:val="0"/>
    <w:pPr>
      <w:widowControl/>
      <w:overflowPunct w:val="0"/>
      <w:autoSpaceDE w:val="0"/>
      <w:autoSpaceDN w:val="0"/>
      <w:adjustRightInd w:val="0"/>
      <w:spacing w:before="120" w:after="0" w:line="360" w:lineRule="auto"/>
      <w:textAlignment w:val="baseline"/>
      <w:outlineLvl w:val="0"/>
    </w:pPr>
    <w:rPr>
      <w:rFonts w:ascii="黑体" w:hAnsi="宋体" w:eastAsia="黑体"/>
      <w:b/>
      <w:spacing w:val="20"/>
      <w:kern w:val="2"/>
      <w:sz w:val="30"/>
      <w:szCs w:val="20"/>
    </w:rPr>
  </w:style>
  <w:style w:type="paragraph" w:customStyle="1" w:styleId="484">
    <w:name w:val="productrig-detailmore-textmore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85">
    <w:name w:val="Char3"/>
    <w:basedOn w:val="19"/>
    <w:autoRedefine/>
    <w:qFormat/>
    <w:uiPriority w:val="0"/>
    <w:pPr>
      <w:adjustRightInd w:val="0"/>
      <w:spacing w:line="436" w:lineRule="exact"/>
      <w:ind w:left="357"/>
      <w:jc w:val="left"/>
      <w:outlineLvl w:val="3"/>
    </w:pPr>
    <w:rPr>
      <w:rFonts w:ascii="Tahoma" w:hAnsi="Tahoma"/>
      <w:b/>
      <w:kern w:val="2"/>
      <w:sz w:val="24"/>
    </w:rPr>
  </w:style>
  <w:style w:type="paragraph" w:customStyle="1" w:styleId="486">
    <w:name w:val="标准"/>
    <w:basedOn w:val="1"/>
    <w:autoRedefine/>
    <w:qFormat/>
    <w:uiPriority w:val="0"/>
    <w:pPr>
      <w:overflowPunct w:val="0"/>
      <w:autoSpaceDE w:val="0"/>
      <w:autoSpaceDN w:val="0"/>
      <w:adjustRightInd w:val="0"/>
      <w:spacing w:line="240" w:lineRule="atLeast"/>
    </w:pPr>
    <w:rPr>
      <w:rFonts w:eastAsia="楷体_GB2312"/>
      <w:kern w:val="0"/>
      <w:sz w:val="24"/>
      <w:szCs w:val="20"/>
    </w:rPr>
  </w:style>
  <w:style w:type="paragraph" w:customStyle="1" w:styleId="487">
    <w:name w:val="3.5.X"/>
    <w:basedOn w:val="479"/>
    <w:autoRedefine/>
    <w:qFormat/>
    <w:uiPriority w:val="0"/>
    <w:pPr>
      <w:tabs>
        <w:tab w:val="left" w:pos="227"/>
        <w:tab w:val="left" w:pos="2051"/>
        <w:tab w:val="clear" w:pos="1260"/>
      </w:tabs>
      <w:spacing w:line="480" w:lineRule="auto"/>
      <w:ind w:left="707" w:hanging="567"/>
    </w:pPr>
    <w:rPr>
      <w:bCs w:val="0"/>
    </w:rPr>
  </w:style>
  <w:style w:type="paragraph" w:customStyle="1" w:styleId="488">
    <w:name w:val="正文 New New New New"/>
    <w:autoRedefine/>
    <w:qFormat/>
    <w:uiPriority w:val="0"/>
    <w:pPr>
      <w:widowControl w:val="0"/>
      <w:jc w:val="both"/>
    </w:pPr>
    <w:rPr>
      <w:rFonts w:ascii="Calibri" w:hAnsi="Calibri" w:eastAsia="宋体" w:cs="Times New Roman"/>
      <w:sz w:val="21"/>
      <w:szCs w:val="24"/>
      <w:lang w:val="en-US" w:eastAsia="zh-CN" w:bidi="ar-SA"/>
    </w:rPr>
  </w:style>
  <w:style w:type="paragraph" w:customStyle="1" w:styleId="489">
    <w:name w:val="标题 2_0"/>
    <w:basedOn w:val="1"/>
    <w:next w:val="1"/>
    <w:autoRedefine/>
    <w:qFormat/>
    <w:uiPriority w:val="0"/>
    <w:pPr>
      <w:keepNext/>
      <w:keepLines/>
      <w:tabs>
        <w:tab w:val="left" w:pos="-540"/>
      </w:tabs>
      <w:spacing w:before="260" w:after="260" w:line="240" w:lineRule="atLeast"/>
      <w:ind w:firstLine="200" w:firstLineChars="200"/>
      <w:outlineLvl w:val="1"/>
    </w:pPr>
    <w:rPr>
      <w:rFonts w:ascii="Arial" w:hAnsi="Arial"/>
      <w:b/>
      <w:sz w:val="28"/>
      <w:szCs w:val="20"/>
    </w:rPr>
  </w:style>
  <w:style w:type="paragraph" w:customStyle="1" w:styleId="490">
    <w:name w:val="样式 标题 4 + 宋体 五号 两端对齐"/>
    <w:basedOn w:val="5"/>
    <w:autoRedefine/>
    <w:qFormat/>
    <w:uiPriority w:val="0"/>
    <w:pPr>
      <w:keepLines w:val="0"/>
      <w:spacing w:before="0" w:after="0" w:line="360" w:lineRule="auto"/>
    </w:pPr>
    <w:rPr>
      <w:rFonts w:ascii="宋体" w:hAnsi="宋体" w:eastAsia="宋体" w:cs="宋体"/>
      <w:bCs w:val="0"/>
      <w:kern w:val="2"/>
      <w:sz w:val="21"/>
      <w:szCs w:val="20"/>
    </w:rPr>
  </w:style>
  <w:style w:type="paragraph" w:customStyle="1" w:styleId="491">
    <w:name w:val="contentlabel"/>
    <w:basedOn w:val="1"/>
    <w:autoRedefine/>
    <w:qFormat/>
    <w:uiPriority w:val="0"/>
    <w:pPr>
      <w:widowControl/>
      <w:spacing w:before="40" w:after="100" w:afterAutospacing="1"/>
      <w:ind w:left="120"/>
      <w:jc w:val="left"/>
    </w:pPr>
    <w:rPr>
      <w:rFonts w:ascii="宋体" w:hAnsi="宋体"/>
      <w:color w:val="336666"/>
      <w:kern w:val="0"/>
      <w:sz w:val="24"/>
    </w:rPr>
  </w:style>
  <w:style w:type="paragraph" w:customStyle="1" w:styleId="492">
    <w:name w:val="样式 样式 宋体 小四 左 段前: 12 磅 行距: 1.5 倍行距 + 两端对齐"/>
    <w:basedOn w:val="493"/>
    <w:autoRedefine/>
    <w:qFormat/>
    <w:uiPriority w:val="0"/>
    <w:pPr>
      <w:tabs>
        <w:tab w:val="left" w:pos="0"/>
        <w:tab w:val="left" w:pos="425"/>
      </w:tabs>
      <w:ind w:left="851"/>
      <w:jc w:val="both"/>
    </w:pPr>
  </w:style>
  <w:style w:type="paragraph" w:customStyle="1" w:styleId="493">
    <w:name w:val="样式 宋体 小四 左 段前: 12 磅 行距: 1.5 倍行距"/>
    <w:basedOn w:val="5"/>
    <w:autoRedefine/>
    <w:qFormat/>
    <w:uiPriority w:val="0"/>
    <w:pPr>
      <w:tabs>
        <w:tab w:val="left" w:pos="0"/>
        <w:tab w:val="left" w:pos="425"/>
      </w:tabs>
      <w:spacing w:before="240" w:line="360" w:lineRule="auto"/>
      <w:ind w:left="425" w:hanging="425"/>
      <w:jc w:val="left"/>
    </w:pPr>
    <w:rPr>
      <w:rFonts w:ascii="宋体" w:hAnsi="宋体" w:cs="宋体"/>
      <w:kern w:val="2"/>
      <w:sz w:val="24"/>
      <w:szCs w:val="20"/>
    </w:rPr>
  </w:style>
  <w:style w:type="paragraph" w:customStyle="1" w:styleId="494">
    <w:name w:val="次小点说明"/>
    <w:basedOn w:val="8"/>
    <w:autoRedefine/>
    <w:qFormat/>
    <w:uiPriority w:val="0"/>
    <w:pPr>
      <w:tabs>
        <w:tab w:val="left" w:pos="840"/>
      </w:tabs>
      <w:autoSpaceDE/>
      <w:autoSpaceDN/>
      <w:spacing w:after="80"/>
    </w:pPr>
    <w:rPr>
      <w:szCs w:val="24"/>
    </w:rPr>
  </w:style>
  <w:style w:type="paragraph" w:customStyle="1" w:styleId="495">
    <w:name w:val="xl132"/>
    <w:basedOn w:val="1"/>
    <w:autoRedefine/>
    <w:qFormat/>
    <w:uiPriority w:val="0"/>
    <w:pPr>
      <w:widowControl/>
      <w:pBdr>
        <w:top w:val="single" w:color="auto" w:sz="4" w:space="0"/>
        <w:left w:val="single" w:color="auto" w:sz="4" w:space="0"/>
        <w:bottom w:val="single" w:color="auto" w:sz="4" w:space="0"/>
      </w:pBdr>
      <w:shd w:val="clear" w:color="FFFFFF" w:fill="FFFFFF"/>
      <w:spacing w:before="100" w:beforeAutospacing="1" w:after="100" w:afterAutospacing="1"/>
      <w:jc w:val="right"/>
      <w:textAlignment w:val="center"/>
    </w:pPr>
    <w:rPr>
      <w:rFonts w:ascii="宋体" w:hAnsi="宋体" w:cs="宋体"/>
      <w:b/>
      <w:bCs/>
      <w:color w:val="FF0000"/>
      <w:kern w:val="0"/>
      <w:sz w:val="24"/>
    </w:rPr>
  </w:style>
  <w:style w:type="paragraph" w:customStyle="1" w:styleId="496">
    <w:name w:val="样式 标题 2标题 1.1部分标题2nd levelh22Header 2l2Heading 2 Hidden...1"/>
    <w:basedOn w:val="3"/>
    <w:next w:val="3"/>
    <w:autoRedefine/>
    <w:qFormat/>
    <w:uiPriority w:val="0"/>
    <w:pPr>
      <w:tabs>
        <w:tab w:val="left" w:pos="567"/>
      </w:tabs>
      <w:spacing w:after="0" w:afterLines="0" w:line="420" w:lineRule="auto"/>
      <w:ind w:left="1320" w:leftChars="0" w:hanging="420" w:firstLineChars="0"/>
    </w:pPr>
    <w:rPr>
      <w:rFonts w:ascii="宋体" w:hAnsi="宋体" w:cs="宋体"/>
      <w:b w:val="0"/>
      <w:bCs w:val="0"/>
      <w:szCs w:val="20"/>
    </w:rPr>
  </w:style>
  <w:style w:type="paragraph" w:customStyle="1" w:styleId="497">
    <w:name w:val="jin3"/>
    <w:basedOn w:val="4"/>
    <w:autoRedefine/>
    <w:qFormat/>
    <w:uiPriority w:val="0"/>
    <w:pPr>
      <w:keepLines w:val="0"/>
      <w:widowControl/>
      <w:overflowPunct w:val="0"/>
      <w:autoSpaceDE w:val="0"/>
      <w:autoSpaceDN w:val="0"/>
      <w:adjustRightInd w:val="0"/>
      <w:spacing w:before="360" w:after="120" w:afterLines="0" w:line="300" w:lineRule="auto"/>
      <w:textAlignment w:val="baseline"/>
      <w:outlineLvl w:val="9"/>
    </w:pPr>
    <w:rPr>
      <w:rFonts w:ascii="宋体"/>
      <w:bCs w:val="0"/>
      <w:kern w:val="0"/>
      <w:szCs w:val="20"/>
      <w:lang w:val="en-GB"/>
    </w:rPr>
  </w:style>
  <w:style w:type="paragraph" w:customStyle="1" w:styleId="498">
    <w:name w:val="Char Char8"/>
    <w:basedOn w:val="1"/>
    <w:autoRedefine/>
    <w:qFormat/>
    <w:uiPriority w:val="0"/>
    <w:rPr>
      <w:rFonts w:ascii="宋体" w:hAnsi="宋体"/>
      <w:b/>
      <w:sz w:val="28"/>
      <w:szCs w:val="28"/>
    </w:rPr>
  </w:style>
  <w:style w:type="paragraph" w:customStyle="1" w:styleId="499">
    <w:name w:val="标题一"/>
    <w:basedOn w:val="64"/>
    <w:next w:val="2"/>
    <w:autoRedefine/>
    <w:qFormat/>
    <w:uiPriority w:val="0"/>
    <w:pPr>
      <w:pageBreakBefore w:val="0"/>
      <w:tabs>
        <w:tab w:val="left" w:pos="567"/>
        <w:tab w:val="clear" w:pos="600"/>
        <w:tab w:val="clear" w:pos="960"/>
        <w:tab w:val="clear" w:pos="1080"/>
      </w:tabs>
      <w:overflowPunct/>
      <w:spacing w:line="240" w:lineRule="auto"/>
      <w:ind w:right="0"/>
    </w:pPr>
    <w:rPr>
      <w:rFonts w:hAnsi="宋体" w:cs="宋体"/>
      <w:kern w:val="44"/>
      <w:szCs w:val="32"/>
    </w:rPr>
  </w:style>
  <w:style w:type="paragraph" w:customStyle="1" w:styleId="500">
    <w:name w:val="Char1 Char Char Char Char Char Char"/>
    <w:basedOn w:val="1"/>
    <w:autoRedefine/>
    <w:qFormat/>
    <w:uiPriority w:val="0"/>
    <w:pPr>
      <w:tabs>
        <w:tab w:val="left" w:pos="1003"/>
      </w:tabs>
      <w:ind w:left="900" w:hanging="420"/>
    </w:pPr>
    <w:rPr>
      <w:sz w:val="24"/>
    </w:rPr>
  </w:style>
  <w:style w:type="paragraph" w:customStyle="1" w:styleId="501">
    <w:name w:val="4.X"/>
    <w:basedOn w:val="3"/>
    <w:autoRedefine/>
    <w:qFormat/>
    <w:uiPriority w:val="0"/>
    <w:pPr>
      <w:tabs>
        <w:tab w:val="left" w:pos="1080"/>
      </w:tabs>
      <w:spacing w:before="260" w:after="260" w:afterLines="0" w:line="416" w:lineRule="auto"/>
      <w:ind w:left="1320" w:leftChars="0" w:hanging="420" w:firstLineChars="0"/>
    </w:pPr>
    <w:rPr>
      <w:rFonts w:eastAsia="黑体"/>
      <w:sz w:val="32"/>
    </w:rPr>
  </w:style>
  <w:style w:type="paragraph" w:customStyle="1" w:styleId="502">
    <w:name w:val="2.X.X"/>
    <w:basedOn w:val="4"/>
    <w:autoRedefine/>
    <w:qFormat/>
    <w:uiPriority w:val="0"/>
    <w:pPr>
      <w:tabs>
        <w:tab w:val="left" w:pos="960"/>
      </w:tabs>
      <w:adjustRightInd w:val="0"/>
      <w:spacing w:after="0" w:afterLines="0"/>
      <w:textAlignment w:val="baseline"/>
    </w:pPr>
    <w:rPr>
      <w:rFonts w:ascii="宋体" w:hAnsi="宋体"/>
      <w:b w:val="0"/>
      <w:kern w:val="0"/>
      <w:szCs w:val="20"/>
    </w:rPr>
  </w:style>
  <w:style w:type="paragraph" w:customStyle="1" w:styleId="503">
    <w:name w:val="2.X"/>
    <w:basedOn w:val="3"/>
    <w:autoRedefine/>
    <w:qFormat/>
    <w:uiPriority w:val="0"/>
    <w:pPr>
      <w:tabs>
        <w:tab w:val="left" w:pos="567"/>
      </w:tabs>
      <w:spacing w:before="260" w:after="80" w:afterLines="0" w:line="360" w:lineRule="auto"/>
      <w:ind w:left="1260" w:leftChars="0" w:hanging="420" w:firstLineChars="0"/>
    </w:pPr>
    <w:rPr>
      <w:rFonts w:ascii="宋体" w:hAnsi="宋体"/>
      <w:sz w:val="30"/>
    </w:rPr>
  </w:style>
  <w:style w:type="paragraph" w:customStyle="1" w:styleId="504">
    <w:name w:val="C3"/>
    <w:basedOn w:val="1"/>
    <w:autoRedefine/>
    <w:qFormat/>
    <w:uiPriority w:val="0"/>
    <w:pPr>
      <w:keepNext/>
      <w:keepLines/>
      <w:spacing w:before="260" w:after="260" w:line="415" w:lineRule="auto"/>
    </w:pPr>
    <w:rPr>
      <w:rFonts w:ascii="Arial" w:hAnsi="Arial" w:eastAsia="黑体"/>
      <w:b/>
      <w:sz w:val="28"/>
      <w:szCs w:val="20"/>
    </w:rPr>
  </w:style>
  <w:style w:type="paragraph" w:customStyle="1" w:styleId="505">
    <w:name w:val="BT2"/>
    <w:basedOn w:val="25"/>
    <w:autoRedefine/>
    <w:qFormat/>
    <w:uiPriority w:val="0"/>
    <w:pPr>
      <w:widowControl/>
      <w:overflowPunct w:val="0"/>
      <w:autoSpaceDE w:val="0"/>
      <w:autoSpaceDN w:val="0"/>
      <w:adjustRightInd w:val="0"/>
      <w:spacing w:before="120" w:after="0" w:line="360" w:lineRule="auto"/>
      <w:textAlignment w:val="baseline"/>
      <w:outlineLvl w:val="1"/>
    </w:pPr>
    <w:rPr>
      <w:rFonts w:ascii="黑体" w:hAnsi="宋体" w:eastAsia="黑体"/>
      <w:b/>
      <w:spacing w:val="20"/>
      <w:kern w:val="2"/>
      <w:sz w:val="28"/>
      <w:szCs w:val="20"/>
    </w:rPr>
  </w:style>
  <w:style w:type="paragraph" w:customStyle="1" w:styleId="506">
    <w:name w:val="a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07">
    <w:name w:val="4"/>
    <w:basedOn w:val="1"/>
    <w:next w:val="1"/>
    <w:autoRedefine/>
    <w:qFormat/>
    <w:uiPriority w:val="0"/>
  </w:style>
  <w:style w:type="paragraph" w:customStyle="1" w:styleId="508">
    <w:name w:val="_Style 3"/>
    <w:basedOn w:val="1"/>
    <w:autoRedefine/>
    <w:qFormat/>
    <w:uiPriority w:val="0"/>
    <w:pPr>
      <w:ind w:firstLine="420" w:firstLineChars="200"/>
    </w:pPr>
    <w:rPr>
      <w:sz w:val="20"/>
    </w:rPr>
  </w:style>
  <w:style w:type="paragraph" w:customStyle="1" w:styleId="509">
    <w:name w:val="BT3"/>
    <w:basedOn w:val="25"/>
    <w:autoRedefine/>
    <w:qFormat/>
    <w:uiPriority w:val="0"/>
    <w:pPr>
      <w:widowControl/>
      <w:overflowPunct w:val="0"/>
      <w:autoSpaceDE w:val="0"/>
      <w:autoSpaceDN w:val="0"/>
      <w:adjustRightInd w:val="0"/>
      <w:spacing w:before="120" w:after="0" w:line="360" w:lineRule="auto"/>
      <w:ind w:right="113"/>
      <w:textAlignment w:val="baseline"/>
      <w:outlineLvl w:val="2"/>
    </w:pPr>
    <w:rPr>
      <w:rFonts w:ascii="黑体" w:hAnsi="宋体" w:eastAsia="黑体"/>
      <w:b/>
      <w:spacing w:val="20"/>
      <w:kern w:val="2"/>
      <w:sz w:val="24"/>
      <w:szCs w:val="20"/>
    </w:rPr>
  </w:style>
  <w:style w:type="paragraph" w:customStyle="1" w:styleId="510">
    <w:name w:val="样式 样式 正文缩进文字表正文正文非缩进首行缩进两字正文（首行缩进两字） Char正文缩进1正文（首行缩进两字） Cha...1..."/>
    <w:basedOn w:val="1"/>
    <w:autoRedefine/>
    <w:qFormat/>
    <w:uiPriority w:val="0"/>
    <w:pPr>
      <w:adjustRightInd w:val="0"/>
      <w:snapToGrid w:val="0"/>
      <w:spacing w:line="360" w:lineRule="auto"/>
      <w:ind w:firstLine="560" w:firstLineChars="200"/>
    </w:pPr>
    <w:rPr>
      <w:rFonts w:eastAsia="华文中宋"/>
      <w:color w:val="000000"/>
      <w:sz w:val="24"/>
      <w:szCs w:val="20"/>
    </w:rPr>
  </w:style>
  <w:style w:type="paragraph" w:customStyle="1" w:styleId="511">
    <w:name w:val="样式 标题 3cbBOD 0h33rd level3Head 3level_3PIM 3Level 3 Hea...1"/>
    <w:basedOn w:val="4"/>
    <w:autoRedefine/>
    <w:qFormat/>
    <w:uiPriority w:val="0"/>
    <w:pPr>
      <w:tabs>
        <w:tab w:val="left" w:pos="264"/>
      </w:tabs>
      <w:adjustRightInd w:val="0"/>
      <w:snapToGrid w:val="0"/>
      <w:spacing w:before="156" w:beforeLines="50" w:after="156"/>
    </w:pPr>
    <w:rPr>
      <w:rFonts w:hAnsi="宋体" w:cs="宋体"/>
      <w:sz w:val="21"/>
      <w:szCs w:val="21"/>
      <w:lang w:val="zh-CN"/>
    </w:rPr>
  </w:style>
  <w:style w:type="paragraph" w:customStyle="1" w:styleId="512">
    <w:name w:val="Char Char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13">
    <w:name w:val="正文（不缩进）"/>
    <w:basedOn w:val="1"/>
    <w:autoRedefine/>
    <w:qFormat/>
    <w:uiPriority w:val="0"/>
    <w:pPr>
      <w:tabs>
        <w:tab w:val="left" w:pos="420"/>
      </w:tabs>
      <w:spacing w:line="360" w:lineRule="auto"/>
    </w:pPr>
    <w:rPr>
      <w:sz w:val="24"/>
      <w:szCs w:val="20"/>
    </w:rPr>
  </w:style>
  <w:style w:type="paragraph" w:customStyle="1" w:styleId="514">
    <w:name w:val="Char Char Char Char Char Char Char Char Char Char"/>
    <w:basedOn w:val="1"/>
    <w:autoRedefine/>
    <w:qFormat/>
    <w:uiPriority w:val="0"/>
    <w:rPr>
      <w:rFonts w:ascii="Tahoma" w:hAnsi="Tahoma"/>
      <w:sz w:val="24"/>
      <w:szCs w:val="20"/>
    </w:rPr>
  </w:style>
  <w:style w:type="paragraph" w:customStyle="1" w:styleId="515">
    <w:name w:val="默认段落字体 Para Char Char Char Char"/>
    <w:basedOn w:val="1"/>
    <w:autoRedefine/>
    <w:qFormat/>
    <w:uiPriority w:val="0"/>
  </w:style>
  <w:style w:type="paragraph" w:customStyle="1" w:styleId="516">
    <w:name w:val="办公自动化专用标题"/>
    <w:basedOn w:val="64"/>
    <w:autoRedefine/>
    <w:qFormat/>
    <w:uiPriority w:val="0"/>
    <w:pPr>
      <w:pageBreakBefore w:val="0"/>
      <w:tabs>
        <w:tab w:val="clear" w:pos="600"/>
        <w:tab w:val="clear" w:pos="960"/>
        <w:tab w:val="clear" w:pos="1080"/>
      </w:tabs>
      <w:overflowPunct/>
      <w:spacing w:line="560" w:lineRule="atLeast"/>
      <w:ind w:left="0" w:right="0" w:firstLine="0"/>
    </w:pPr>
    <w:rPr>
      <w:rFonts w:ascii="宋体"/>
      <w:kern w:val="2"/>
      <w:sz w:val="44"/>
    </w:rPr>
  </w:style>
  <w:style w:type="paragraph" w:customStyle="1" w:styleId="517">
    <w:name w:val="2.5.X"/>
    <w:basedOn w:val="502"/>
    <w:autoRedefine/>
    <w:qFormat/>
    <w:uiPriority w:val="0"/>
  </w:style>
  <w:style w:type="paragraph" w:customStyle="1" w:styleId="518">
    <w:name w:val="10.3.3.X"/>
    <w:basedOn w:val="5"/>
    <w:autoRedefine/>
    <w:qFormat/>
    <w:uiPriority w:val="0"/>
    <w:pPr>
      <w:tabs>
        <w:tab w:val="left" w:pos="1571"/>
      </w:tabs>
      <w:spacing w:before="240" w:line="360" w:lineRule="auto"/>
      <w:jc w:val="left"/>
    </w:pPr>
    <w:rPr>
      <w:rFonts w:ascii="宋体" w:hAnsi="宋体"/>
      <w:bCs w:val="0"/>
      <w:kern w:val="2"/>
      <w:sz w:val="24"/>
    </w:rPr>
  </w:style>
  <w:style w:type="paragraph" w:customStyle="1" w:styleId="519">
    <w:name w:val="小点说明"/>
    <w:basedOn w:val="1"/>
    <w:autoRedefine/>
    <w:qFormat/>
    <w:uiPriority w:val="0"/>
    <w:pPr>
      <w:tabs>
        <w:tab w:val="left" w:pos="420"/>
      </w:tabs>
      <w:spacing w:after="80" w:line="360" w:lineRule="auto"/>
      <w:ind w:left="425" w:hanging="425"/>
    </w:pPr>
    <w:rPr>
      <w:sz w:val="24"/>
    </w:rPr>
  </w:style>
  <w:style w:type="paragraph" w:customStyle="1" w:styleId="520">
    <w:name w:val="样式 样式 标题 2标题 1.1部分标题2nd levelh22Header 2l2Heading 2 Hidden...1 +..."/>
    <w:basedOn w:val="496"/>
    <w:autoRedefine/>
    <w:qFormat/>
    <w:uiPriority w:val="0"/>
    <w:rPr>
      <w:b/>
    </w:rPr>
  </w:style>
  <w:style w:type="paragraph" w:customStyle="1" w:styleId="521">
    <w:name w:val="style14"/>
    <w:basedOn w:val="1"/>
    <w:autoRedefine/>
    <w:qFormat/>
    <w:uiPriority w:val="0"/>
    <w:pPr>
      <w:widowControl/>
      <w:spacing w:before="100" w:beforeAutospacing="1" w:after="100" w:afterAutospacing="1"/>
      <w:jc w:val="left"/>
    </w:pPr>
    <w:rPr>
      <w:rFonts w:ascii="宋体" w:hAnsi="宋体" w:cs="宋体"/>
      <w:color w:val="003399"/>
      <w:kern w:val="0"/>
      <w:sz w:val="24"/>
    </w:rPr>
  </w:style>
  <w:style w:type="paragraph" w:customStyle="1" w:styleId="522">
    <w:name w:val="编号1"/>
    <w:basedOn w:val="1"/>
    <w:autoRedefine/>
    <w:qFormat/>
    <w:uiPriority w:val="0"/>
    <w:pPr>
      <w:tabs>
        <w:tab w:val="left" w:pos="840"/>
        <w:tab w:val="left" w:pos="900"/>
      </w:tabs>
      <w:adjustRightInd w:val="0"/>
      <w:spacing w:line="300" w:lineRule="auto"/>
      <w:ind w:left="900" w:hanging="420"/>
      <w:textAlignment w:val="center"/>
    </w:pPr>
    <w:rPr>
      <w:rFonts w:eastAsia="仿宋_GB2312"/>
      <w:snapToGrid w:val="0"/>
      <w:spacing w:val="10"/>
      <w:kern w:val="24"/>
      <w:sz w:val="24"/>
      <w:szCs w:val="20"/>
    </w:rPr>
  </w:style>
  <w:style w:type="paragraph" w:customStyle="1" w:styleId="523">
    <w:name w:val="标注"/>
    <w:basedOn w:val="1"/>
    <w:autoRedefine/>
    <w:qFormat/>
    <w:uiPriority w:val="0"/>
    <w:pPr>
      <w:ind w:firstLine="200" w:firstLineChars="200"/>
    </w:pPr>
    <w:rPr>
      <w:spacing w:val="8"/>
      <w:position w:val="4"/>
      <w:sz w:val="18"/>
    </w:rPr>
  </w:style>
  <w:style w:type="paragraph" w:customStyle="1" w:styleId="524">
    <w:name w:val="Style69"/>
    <w:basedOn w:val="1"/>
    <w:autoRedefine/>
    <w:qFormat/>
    <w:uiPriority w:val="0"/>
    <w:pPr>
      <w:adjustRightInd w:val="0"/>
      <w:jc w:val="left"/>
    </w:pPr>
    <w:rPr>
      <w:rFonts w:ascii="宋体"/>
      <w:kern w:val="0"/>
      <w:sz w:val="24"/>
    </w:rPr>
  </w:style>
  <w:style w:type="paragraph" w:customStyle="1" w:styleId="525">
    <w:name w:val="111"/>
    <w:basedOn w:val="1"/>
    <w:autoRedefine/>
    <w:qFormat/>
    <w:uiPriority w:val="0"/>
    <w:pPr>
      <w:spacing w:line="360" w:lineRule="auto"/>
    </w:pPr>
    <w:rPr>
      <w:rFonts w:ascii="Tahoma" w:hAnsi="Tahoma"/>
      <w:sz w:val="24"/>
      <w:szCs w:val="20"/>
    </w:rPr>
  </w:style>
  <w:style w:type="paragraph" w:customStyle="1" w:styleId="526">
    <w:name w:val="List Paragraph11"/>
    <w:basedOn w:val="1"/>
    <w:autoRedefine/>
    <w:qFormat/>
    <w:uiPriority w:val="0"/>
    <w:pPr>
      <w:ind w:firstLine="420" w:firstLineChars="200"/>
    </w:pPr>
  </w:style>
  <w:style w:type="paragraph" w:customStyle="1" w:styleId="527">
    <w:name w:val="Char Char Char Char2"/>
    <w:basedOn w:val="1"/>
    <w:autoRedefine/>
    <w:qFormat/>
    <w:uiPriority w:val="0"/>
    <w:rPr>
      <w:rFonts w:ascii="Tahoma" w:hAnsi="Tahoma"/>
      <w:sz w:val="24"/>
      <w:szCs w:val="20"/>
    </w:rPr>
  </w:style>
  <w:style w:type="paragraph" w:customStyle="1" w:styleId="528">
    <w:name w:val="_Style 65"/>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9">
    <w:name w:val="Table Paragraph"/>
    <w:basedOn w:val="1"/>
    <w:autoRedefine/>
    <w:qFormat/>
    <w:uiPriority w:val="1"/>
    <w:rPr>
      <w:rFonts w:ascii="宋体" w:hAnsi="宋体" w:cs="宋体"/>
      <w:lang w:val="zh-CN" w:bidi="zh-CN"/>
    </w:rPr>
  </w:style>
  <w:style w:type="paragraph" w:customStyle="1" w:styleId="530">
    <w:name w:val="Char Char Char Char Char Char Char2"/>
    <w:basedOn w:val="1"/>
    <w:autoRedefine/>
    <w:qFormat/>
    <w:uiPriority w:val="0"/>
    <w:rPr>
      <w:szCs w:val="20"/>
    </w:rPr>
  </w:style>
  <w:style w:type="paragraph" w:customStyle="1" w:styleId="531">
    <w:name w:val="列出段落2"/>
    <w:basedOn w:val="1"/>
    <w:autoRedefine/>
    <w:qFormat/>
    <w:uiPriority w:val="34"/>
    <w:pPr>
      <w:ind w:firstLine="420" w:firstLineChars="200"/>
    </w:pPr>
    <w:rPr>
      <w:szCs w:val="20"/>
    </w:rPr>
  </w:style>
  <w:style w:type="paragraph" w:customStyle="1" w:styleId="532">
    <w:name w:val="ZW"/>
    <w:basedOn w:val="43"/>
    <w:autoRedefine/>
    <w:qFormat/>
    <w:uiPriority w:val="0"/>
    <w:pPr>
      <w:tabs>
        <w:tab w:val="right" w:leader="dot" w:pos="9168"/>
        <w:tab w:val="clear" w:pos="9680"/>
      </w:tabs>
      <w:spacing w:before="120" w:after="120" w:line="360" w:lineRule="auto"/>
      <w:ind w:firstLine="560" w:firstLineChars="200"/>
    </w:pPr>
    <w:rPr>
      <w:rFonts w:ascii="宋体" w:hAnsi="宋体" w:eastAsia="黑体"/>
      <w:b/>
      <w:spacing w:val="20"/>
      <w:sz w:val="24"/>
      <w:szCs w:val="48"/>
    </w:rPr>
  </w:style>
  <w:style w:type="paragraph" w:customStyle="1" w:styleId="533">
    <w:name w:val="Char Char Char Char Char Char Char Char Char Char1"/>
    <w:basedOn w:val="1"/>
    <w:autoRedefine/>
    <w:qFormat/>
    <w:uiPriority w:val="0"/>
    <w:rPr>
      <w:rFonts w:ascii="Tahoma" w:hAnsi="Tahoma" w:cs="宋体"/>
      <w:kern w:val="0"/>
      <w:sz w:val="24"/>
      <w:szCs w:val="20"/>
    </w:rPr>
  </w:style>
  <w:style w:type="paragraph" w:customStyle="1" w:styleId="534">
    <w:name w:val="Char12"/>
    <w:basedOn w:val="1"/>
    <w:autoRedefine/>
    <w:qFormat/>
    <w:uiPriority w:val="0"/>
    <w:pPr>
      <w:tabs>
        <w:tab w:val="left" w:pos="420"/>
      </w:tabs>
      <w:ind w:left="420" w:hanging="420"/>
    </w:pPr>
    <w:rPr>
      <w:sz w:val="24"/>
    </w:rPr>
  </w:style>
  <w:style w:type="paragraph" w:customStyle="1" w:styleId="535">
    <w:name w:val="峰景正文"/>
    <w:basedOn w:val="513"/>
    <w:autoRedefine/>
    <w:qFormat/>
    <w:uiPriority w:val="0"/>
    <w:rPr>
      <w:kern w:val="0"/>
    </w:rPr>
  </w:style>
  <w:style w:type="paragraph" w:customStyle="1" w:styleId="536">
    <w:name w:val="表格文字"/>
    <w:basedOn w:val="1"/>
    <w:next w:val="1"/>
    <w:autoRedefine/>
    <w:qFormat/>
    <w:uiPriority w:val="0"/>
    <w:pPr>
      <w:snapToGrid w:val="0"/>
      <w:spacing w:line="360" w:lineRule="atLeast"/>
      <w:jc w:val="center"/>
    </w:pPr>
    <w:rPr>
      <w:rFonts w:ascii="宋体" w:eastAsia="幼圆"/>
      <w:szCs w:val="20"/>
    </w:rPr>
  </w:style>
  <w:style w:type="paragraph" w:customStyle="1" w:styleId="537">
    <w:name w:val="_Style 50"/>
    <w:basedOn w:val="1"/>
    <w:autoRedefine/>
    <w:qFormat/>
    <w:uiPriority w:val="0"/>
    <w:rPr>
      <w:rFonts w:ascii="Tahoma" w:hAnsi="Tahoma" w:cs="宋体"/>
      <w:kern w:val="0"/>
      <w:sz w:val="24"/>
      <w:szCs w:val="20"/>
    </w:rPr>
  </w:style>
  <w:style w:type="paragraph" w:customStyle="1" w:styleId="538">
    <w:name w:val="正文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539">
    <w:name w:val="Char Char Char Char11"/>
    <w:basedOn w:val="19"/>
    <w:autoRedefine/>
    <w:qFormat/>
    <w:uiPriority w:val="0"/>
    <w:pPr>
      <w:adjustRightInd w:val="0"/>
      <w:spacing w:line="436" w:lineRule="exact"/>
      <w:ind w:left="357"/>
      <w:jc w:val="left"/>
      <w:outlineLvl w:val="3"/>
    </w:pPr>
    <w:rPr>
      <w:rFonts w:ascii="Tahoma" w:hAnsi="Tahoma"/>
      <w:b/>
      <w:kern w:val="2"/>
      <w:sz w:val="24"/>
    </w:rPr>
  </w:style>
  <w:style w:type="paragraph" w:customStyle="1" w:styleId="540">
    <w:name w:val="默认段落字体 Para Char Char Char Char Char Char Char Char Char1 Char"/>
    <w:basedOn w:val="1"/>
    <w:autoRedefine/>
    <w:qFormat/>
    <w:uiPriority w:val="0"/>
    <w:rPr>
      <w:rFonts w:ascii="Tahoma" w:hAnsi="Tahoma"/>
      <w:sz w:val="24"/>
      <w:szCs w:val="20"/>
    </w:rPr>
  </w:style>
  <w:style w:type="paragraph" w:customStyle="1" w:styleId="541">
    <w:name w:val="Char Char Char Char Char Char2"/>
    <w:basedOn w:val="1"/>
    <w:autoRedefine/>
    <w:qFormat/>
    <w:uiPriority w:val="0"/>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542">
    <w:name w:val="正文3"/>
    <w:basedOn w:val="33"/>
    <w:autoRedefine/>
    <w:qFormat/>
    <w:uiPriority w:val="0"/>
    <w:pPr>
      <w:spacing w:line="360" w:lineRule="auto"/>
    </w:pPr>
    <w:rPr>
      <w:rFonts w:hAnsi="宋体"/>
      <w:kern w:val="2"/>
      <w:sz w:val="24"/>
      <w:szCs w:val="28"/>
    </w:rPr>
  </w:style>
  <w:style w:type="paragraph" w:customStyle="1" w:styleId="543">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544">
    <w:name w:val="1"/>
    <w:basedOn w:val="1"/>
    <w:next w:val="269"/>
    <w:link w:val="545"/>
    <w:autoRedefine/>
    <w:qFormat/>
    <w:uiPriority w:val="0"/>
    <w:pPr>
      <w:ind w:firstLine="420" w:firstLineChars="200"/>
    </w:pPr>
    <w:rPr>
      <w:kern w:val="0"/>
      <w:sz w:val="20"/>
      <w:szCs w:val="20"/>
    </w:rPr>
  </w:style>
  <w:style w:type="character" w:customStyle="1" w:styleId="545">
    <w:name w:val="正文文本首行缩进 2 字符"/>
    <w:link w:val="544"/>
    <w:autoRedefine/>
    <w:qFormat/>
    <w:uiPriority w:val="0"/>
  </w:style>
  <w:style w:type="character" w:customStyle="1" w:styleId="546">
    <w:name w:val="正文文本首行缩进 字符"/>
    <w:autoRedefine/>
    <w:qFormat/>
    <w:uiPriority w:val="0"/>
  </w:style>
  <w:style w:type="character" w:customStyle="1" w:styleId="547">
    <w:name w:val="未处理的提及1"/>
    <w:autoRedefine/>
    <w:unhideWhenUsed/>
    <w:qFormat/>
    <w:uiPriority w:val="99"/>
    <w:rPr>
      <w:color w:val="605E5C"/>
      <w:shd w:val="clear" w:color="auto" w:fill="E1DFDD"/>
    </w:rPr>
  </w:style>
  <w:style w:type="paragraph" w:customStyle="1" w:styleId="548">
    <w:name w:val="正文正"/>
    <w:basedOn w:val="1"/>
    <w:autoRedefine/>
    <w:qFormat/>
    <w:uiPriority w:val="0"/>
    <w:pPr>
      <w:spacing w:line="560" w:lineRule="exact"/>
      <w:ind w:firstLine="561"/>
    </w:pPr>
    <w:rPr>
      <w:rFonts w:ascii="Calibri" w:hAnsi="Calibri" w:eastAsia="仿宋_GB2312"/>
      <w:sz w:val="28"/>
    </w:rPr>
  </w:style>
  <w:style w:type="paragraph" w:customStyle="1" w:styleId="549">
    <w:name w:val="List Paragraph1"/>
    <w:basedOn w:val="1"/>
    <w:autoRedefine/>
    <w:semiHidden/>
    <w:qFormat/>
    <w:uiPriority w:val="0"/>
    <w:pPr>
      <w:ind w:firstLine="420" w:firstLineChars="200"/>
    </w:pPr>
    <w:rPr>
      <w:szCs w:val="21"/>
    </w:rPr>
  </w:style>
  <w:style w:type="character" w:customStyle="1" w:styleId="550">
    <w:name w:val="标题 2 Char"/>
    <w:autoRedefine/>
    <w:qFormat/>
    <w:uiPriority w:val="0"/>
    <w:rPr>
      <w:rFonts w:ascii="Arial" w:hAnsi="Arial" w:eastAsia="宋体"/>
      <w:b/>
      <w:bCs/>
      <w:kern w:val="2"/>
      <w:sz w:val="28"/>
      <w:szCs w:val="32"/>
    </w:rPr>
  </w:style>
  <w:style w:type="character" w:customStyle="1" w:styleId="551">
    <w:name w:val="正文文本缩进 Char1"/>
    <w:autoRedefine/>
    <w:qFormat/>
    <w:uiPriority w:val="0"/>
    <w:rPr>
      <w:rFonts w:ascii="新宋体" w:hAnsi="新宋体" w:eastAsia="新宋体" w:cs="Times New Roman"/>
      <w:sz w:val="28"/>
      <w:szCs w:val="20"/>
    </w:rPr>
  </w:style>
  <w:style w:type="character" w:customStyle="1" w:styleId="552">
    <w:name w:val="页脚 Char"/>
    <w:autoRedefine/>
    <w:qFormat/>
    <w:uiPriority w:val="99"/>
    <w:rPr>
      <w:sz w:val="18"/>
      <w:szCs w:val="18"/>
    </w:rPr>
  </w:style>
  <w:style w:type="character" w:customStyle="1" w:styleId="553">
    <w:name w:val="页眉 Char"/>
    <w:autoRedefine/>
    <w:qFormat/>
    <w:uiPriority w:val="99"/>
    <w:rPr>
      <w:sz w:val="18"/>
      <w:szCs w:val="18"/>
    </w:rPr>
  </w:style>
  <w:style w:type="character" w:customStyle="1" w:styleId="554">
    <w:name w:val="正文文本缩进 3 Char"/>
    <w:autoRedefine/>
    <w:qFormat/>
    <w:uiPriority w:val="0"/>
    <w:rPr>
      <w:rFonts w:ascii="新宋体" w:hAnsi="新宋体" w:eastAsia="新宋体" w:cs="Times New Roman"/>
      <w:sz w:val="24"/>
      <w:szCs w:val="24"/>
    </w:rPr>
  </w:style>
  <w:style w:type="paragraph" w:customStyle="1" w:styleId="555">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E3ED79-4B30-4FFD-B02F-38EA85611E63}">
  <ds:schemaRefs/>
</ds:datastoreItem>
</file>

<file path=docProps/app.xml><?xml version="1.0" encoding="utf-8"?>
<Properties xmlns="http://schemas.openxmlformats.org/officeDocument/2006/extended-properties" xmlns:vt="http://schemas.openxmlformats.org/officeDocument/2006/docPropsVTypes">
  <Template>Normal</Template>
  <Pages>57</Pages>
  <Words>6179</Words>
  <Characters>35226</Characters>
  <Lines>293</Lines>
  <Paragraphs>82</Paragraphs>
  <TotalTime>2</TotalTime>
  <ScaleCrop>false</ScaleCrop>
  <LinksUpToDate>false</LinksUpToDate>
  <CharactersWithSpaces>41323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2023-02-27T02:01:00Z</dcterms:created>
  <dc:creator>Administrator</dc:creator>
  <cp:lastModifiedBy>萍</cp:lastModifiedBy>
  <cp:lastPrinted>2023-03-09T02:30:00Z</cp:lastPrinted>
  <dcterms:modified xsi:type="dcterms:W3CDTF">2024-04-12T00:43:26Z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0BD06BC430714C6882195C1281160478_13</vt:lpwstr>
  </property>
</Properties>
</file>