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440" w:firstLineChars="400"/>
        <w:rPr>
          <w:rFonts w:ascii="华文行楷" w:hAnsi="宋体" w:eastAsia="华文行楷"/>
          <w:color w:val="984806"/>
          <w:sz w:val="30"/>
          <w:szCs w:val="30"/>
        </w:rPr>
      </w:pPr>
      <w:r>
        <w:rPr>
          <w:rFonts w:hint="eastAsia" w:ascii="微软雅黑" w:hAnsi="微软雅黑" w:eastAsia="微软雅黑" w:cs="Arial"/>
          <w:color w:val="C0504D" w:themeColor="accent2"/>
          <w:kern w:val="0"/>
          <w:sz w:val="36"/>
          <w:szCs w:val="36"/>
        </w:rPr>
        <w:t>英国TNT剧院《罗密欧与朱丽叶》</w:t>
      </w:r>
      <w:r>
        <w:rPr>
          <w:rFonts w:hint="eastAsia" w:ascii="微软雅黑" w:hAnsi="微软雅黑" w:eastAsia="微软雅黑" w:cs="Arial"/>
          <w:color w:val="C0504D" w:themeColor="accent2"/>
          <w:sz w:val="32"/>
          <w:szCs w:val="32"/>
        </w:rPr>
        <w:br w:type="textWrapping"/>
      </w:r>
      <w:r>
        <w:rPr>
          <w:rFonts w:hint="eastAsia"/>
        </w:rPr>
        <w:t xml:space="preserve">                     </w:t>
      </w:r>
      <w:r>
        <w:rPr>
          <w:rFonts w:hint="eastAsia" w:ascii="华文行楷" w:hAnsi="宋体" w:eastAsia="华文行楷"/>
          <w:color w:val="984806"/>
          <w:sz w:val="30"/>
          <w:szCs w:val="30"/>
        </w:rPr>
        <w:t>莎士比亚经典 纯正英伦风范</w:t>
      </w:r>
    </w:p>
    <w:p>
      <w:pPr>
        <w:adjustRightInd w:val="0"/>
        <w:snapToGrid w:val="0"/>
        <w:ind w:firstLine="2400" w:firstLineChars="1000"/>
        <w:rPr>
          <w:rFonts w:asciiTheme="majorEastAsia" w:hAnsiTheme="majorEastAsia" w:eastAsiaTheme="majorEastAsia"/>
          <w:color w:val="984806" w:themeColor="accent6" w:themeShade="80"/>
          <w:sz w:val="24"/>
        </w:rPr>
      </w:pPr>
      <w:r>
        <w:rPr>
          <w:rFonts w:hint="eastAsia" w:ascii="微软雅黑" w:hAnsi="微软雅黑" w:eastAsia="微软雅黑"/>
          <w:bCs/>
          <w:color w:val="333333"/>
          <w:sz w:val="24"/>
        </w:rPr>
        <w:t>英文原版演出 配同步中文字幕</w:t>
      </w:r>
    </w:p>
    <w:p>
      <w:pPr>
        <w:widowControl/>
        <w:shd w:val="clear" w:color="auto" w:fill="FFFFFF"/>
        <w:spacing w:before="100" w:beforeAutospacing="1" w:after="100" w:afterAutospacing="1"/>
        <w:jc w:val="left"/>
        <w:rPr>
          <w:rFonts w:ascii="楷体_GB2312" w:hAnsi="宋体" w:eastAsia="楷体_GB2312" w:cs="Arial"/>
          <w:color w:val="984806" w:themeColor="accent6" w:themeShade="80"/>
          <w:sz w:val="30"/>
          <w:szCs w:val="30"/>
        </w:rPr>
      </w:pPr>
      <w:r>
        <w:rPr>
          <w:rFonts w:hint="eastAsia" w:ascii="楷体_GB2312" w:hAnsi="宋体" w:eastAsia="楷体_GB2312" w:cs="Arial"/>
          <w:color w:val="984806" w:themeColor="accent6" w:themeShade="80"/>
          <w:sz w:val="30"/>
          <w:szCs w:val="30"/>
          <w:lang w:val="en-US" w:eastAsia="zh-CN"/>
        </w:rPr>
        <w:t xml:space="preserve">             </w:t>
      </w:r>
      <w:r>
        <w:rPr>
          <w:rFonts w:ascii="楷体_GB2312" w:hAnsi="宋体" w:eastAsia="楷体_GB2312" w:cs="Arial"/>
          <w:color w:val="984806" w:themeColor="accent6" w:themeShade="80"/>
          <w:sz w:val="30"/>
          <w:szCs w:val="30"/>
        </w:rPr>
        <w:drawing>
          <wp:inline distT="0" distB="0" distL="0" distR="0">
            <wp:extent cx="2724150" cy="3809365"/>
            <wp:effectExtent l="0" t="0" r="3810" b="635"/>
            <wp:docPr id="3" name="图片 2" descr="主视图-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主视图-小图.jpg"/>
                    <pic:cNvPicPr>
                      <a:picLocks noChangeAspect="1"/>
                    </pic:cNvPicPr>
                  </pic:nvPicPr>
                  <pic:blipFill>
                    <a:blip r:embed="rId6"/>
                    <a:stretch>
                      <a:fillRect/>
                    </a:stretch>
                  </pic:blipFill>
                  <pic:spPr>
                    <a:xfrm>
                      <a:off x="0" y="0"/>
                      <a:ext cx="2725323" cy="3811056"/>
                    </a:xfrm>
                    <a:prstGeom prst="rect">
                      <a:avLst/>
                    </a:prstGeom>
                  </pic:spPr>
                </pic:pic>
              </a:graphicData>
            </a:graphic>
          </wp:inline>
        </w:drawing>
      </w:r>
      <w:r>
        <w:rPr>
          <w:rFonts w:hint="eastAsia" w:ascii="楷体_GB2312" w:hAnsi="宋体" w:eastAsia="楷体_GB2312" w:cs="Arial"/>
          <w:color w:val="984806" w:themeColor="accent6" w:themeShade="80"/>
          <w:sz w:val="30"/>
          <w:szCs w:val="30"/>
          <w:lang w:val="en-US" w:eastAsia="zh-CN"/>
        </w:rPr>
        <w:t xml:space="preserve">      </w:t>
      </w:r>
    </w:p>
    <w:p>
      <w:pPr>
        <w:adjustRightInd w:val="0"/>
        <w:snapToGrid w:val="0"/>
        <w:jc w:val="left"/>
        <w:rPr>
          <w:rFonts w:hint="eastAsia" w:ascii="微软雅黑" w:hAnsi="微软雅黑" w:eastAsia="微软雅黑"/>
          <w:sz w:val="24"/>
        </w:rPr>
      </w:pPr>
    </w:p>
    <w:p>
      <w:pPr>
        <w:adjustRightInd w:val="0"/>
        <w:snapToGrid w:val="0"/>
        <w:jc w:val="left"/>
        <w:rPr>
          <w:rFonts w:ascii="微软雅黑" w:hAnsi="微软雅黑" w:eastAsia="微软雅黑"/>
          <w:sz w:val="24"/>
        </w:rPr>
      </w:pPr>
      <w:r>
        <w:rPr>
          <w:rFonts w:hint="eastAsia" w:ascii="微软雅黑" w:hAnsi="微软雅黑" w:eastAsia="微软雅黑"/>
          <w:sz w:val="24"/>
        </w:rPr>
        <w:t>“</w:t>
      </w:r>
      <w:r>
        <w:rPr>
          <w:rFonts w:ascii="微软雅黑" w:hAnsi="微软雅黑" w:eastAsia="微软雅黑"/>
          <w:sz w:val="24"/>
        </w:rPr>
        <w:t>TNT</w:t>
      </w:r>
      <w:r>
        <w:rPr>
          <w:rFonts w:hint="eastAsia" w:ascii="微软雅黑" w:hAnsi="微软雅黑" w:eastAsia="微软雅黑"/>
          <w:sz w:val="24"/>
        </w:rPr>
        <w:t>剧院《罗密欧与朱丽叶》堪称当代英国莎翁剧中最令人满意和最具表现</w:t>
      </w:r>
    </w:p>
    <w:p>
      <w:pPr>
        <w:adjustRightInd w:val="0"/>
        <w:snapToGrid w:val="0"/>
        <w:ind w:left="6600" w:hanging="6600" w:hangingChars="2750"/>
        <w:jc w:val="left"/>
        <w:rPr>
          <w:rFonts w:ascii="微软雅黑" w:hAnsi="微软雅黑" w:eastAsia="微软雅黑"/>
          <w:sz w:val="24"/>
        </w:rPr>
      </w:pPr>
      <w:r>
        <w:rPr>
          <w:rFonts w:hint="eastAsia" w:ascii="微软雅黑" w:hAnsi="微软雅黑" w:eastAsia="微软雅黑"/>
          <w:sz w:val="24"/>
        </w:rPr>
        <w:t>力的作品。”</w:t>
      </w:r>
      <w:r>
        <w:rPr>
          <w:rFonts w:hint="eastAsia" w:ascii="微软雅黑" w:hAnsi="微软雅黑" w:eastAsia="微软雅黑"/>
          <w:sz w:val="24"/>
          <w:lang w:val="en-US" w:eastAsia="zh-CN"/>
        </w:rPr>
        <w:t>——</w:t>
      </w:r>
      <w:r>
        <w:rPr>
          <w:rFonts w:ascii="微软雅黑" w:hAnsi="微软雅黑" w:eastAsia="微软雅黑"/>
          <w:sz w:val="24"/>
        </w:rPr>
        <w:t xml:space="preserve"> </w:t>
      </w:r>
      <w:r>
        <w:rPr>
          <w:rFonts w:hint="eastAsia" w:ascii="微软雅黑" w:hAnsi="微软雅黑" w:eastAsia="微软雅黑"/>
          <w:sz w:val="24"/>
        </w:rPr>
        <w:t>英国《戏剧世界》</w:t>
      </w:r>
    </w:p>
    <w:p>
      <w:pPr>
        <w:adjustRightInd w:val="0"/>
        <w:snapToGrid w:val="0"/>
        <w:jc w:val="left"/>
        <w:rPr>
          <w:rFonts w:ascii="微软雅黑" w:hAnsi="微软雅黑" w:eastAsia="微软雅黑"/>
          <w:color w:val="333333"/>
          <w:sz w:val="24"/>
        </w:rPr>
      </w:pPr>
    </w:p>
    <w:p>
      <w:pPr>
        <w:adjustRightInd w:val="0"/>
        <w:snapToGrid w:val="0"/>
        <w:jc w:val="left"/>
        <w:rPr>
          <w:rFonts w:ascii="微软雅黑" w:hAnsi="微软雅黑" w:eastAsia="微软雅黑"/>
          <w:color w:val="333333"/>
          <w:sz w:val="24"/>
        </w:rPr>
      </w:pPr>
      <w:r>
        <w:rPr>
          <w:rFonts w:ascii="微软雅黑" w:hAnsi="微软雅黑" w:eastAsia="微软雅黑"/>
          <w:color w:val="333333"/>
          <w:sz w:val="24"/>
        </w:rPr>
        <w:t>“TNT</w:t>
      </w:r>
      <w:r>
        <w:rPr>
          <w:rFonts w:hint="eastAsia" w:ascii="微软雅黑" w:hAnsi="微软雅黑" w:eastAsia="微软雅黑"/>
          <w:color w:val="333333"/>
          <w:sz w:val="24"/>
        </w:rPr>
        <w:t xml:space="preserve">剧院《罗密欧与朱丽叶》在悲剧与喜剧间切换自如，优雅浪漫却不乏生动风流，一如莎士比亚原作。戏剧魔术般的表演使得角色甚至风格可在瞬间自由转换，演员的卓越演技成为最大看点，自然流畅到全无表演痕迹。导演保罗·斯特宾让我们相信，至少在戏剧中还存在真爱。”  </w:t>
      </w:r>
      <w:r>
        <w:rPr>
          <w:rFonts w:hint="eastAsia" w:ascii="微软雅黑" w:hAnsi="微软雅黑" w:eastAsia="微软雅黑"/>
          <w:sz w:val="24"/>
          <w:lang w:val="en-US" w:eastAsia="zh-CN"/>
        </w:rPr>
        <w:t>——</w:t>
      </w:r>
      <w:r>
        <w:rPr>
          <w:rFonts w:ascii="微软雅黑" w:hAnsi="微软雅黑" w:eastAsia="微软雅黑"/>
          <w:color w:val="333333"/>
          <w:sz w:val="24"/>
        </w:rPr>
        <w:t xml:space="preserve"> </w:t>
      </w:r>
      <w:r>
        <w:rPr>
          <w:rFonts w:hint="eastAsia" w:ascii="微软雅黑" w:hAnsi="微软雅黑" w:eastAsia="微软雅黑"/>
          <w:color w:val="333333"/>
          <w:sz w:val="24"/>
        </w:rPr>
        <w:t>德国</w:t>
      </w:r>
      <w:r>
        <w:rPr>
          <w:rFonts w:ascii="微软雅黑" w:hAnsi="微软雅黑" w:eastAsia="微软雅黑"/>
          <w:color w:val="333333"/>
          <w:sz w:val="24"/>
        </w:rPr>
        <w:t xml:space="preserve"> </w:t>
      </w:r>
      <w:r>
        <w:rPr>
          <w:rFonts w:hint="eastAsia" w:ascii="微软雅黑" w:hAnsi="微软雅黑" w:eastAsia="微软雅黑"/>
          <w:color w:val="333333"/>
          <w:sz w:val="24"/>
        </w:rPr>
        <w:t>《明斯特日报》</w:t>
      </w:r>
    </w:p>
    <w:p>
      <w:pPr>
        <w:adjustRightInd w:val="0"/>
        <w:snapToGrid w:val="0"/>
        <w:jc w:val="left"/>
        <w:rPr>
          <w:rFonts w:ascii="微软雅黑" w:hAnsi="微软雅黑" w:eastAsia="微软雅黑" w:cs="Arial"/>
          <w:b/>
          <w:bCs/>
          <w:color w:val="333333"/>
          <w:sz w:val="24"/>
          <w:lang w:val="en-GB"/>
        </w:rPr>
      </w:pPr>
    </w:p>
    <w:p>
      <w:pPr>
        <w:adjustRightInd w:val="0"/>
        <w:snapToGrid w:val="0"/>
        <w:jc w:val="left"/>
        <w:rPr>
          <w:rFonts w:hint="eastAsia" w:ascii="微软雅黑" w:hAnsi="微软雅黑" w:eastAsia="微软雅黑" w:cs="Arial"/>
          <w:color w:val="333333"/>
          <w:kern w:val="0"/>
          <w:sz w:val="24"/>
        </w:rPr>
      </w:pPr>
      <w:r>
        <w:rPr>
          <w:rFonts w:hint="eastAsia" w:ascii="微软雅黑" w:hAnsi="微软雅黑" w:eastAsia="微软雅黑" w:cs="Arial"/>
          <w:color w:val="333333"/>
          <w:kern w:val="0"/>
          <w:sz w:val="24"/>
        </w:rPr>
        <w:t xml:space="preserve">“折服中国观众的是简洁却绝不简单的设计中蕴含的巧妙想象力以及整个演出纯正的英伦风格和强烈的戏剧震撼力。” </w:t>
      </w:r>
      <w:r>
        <w:rPr>
          <w:rFonts w:hint="eastAsia" w:ascii="微软雅黑" w:hAnsi="微软雅黑" w:eastAsia="微软雅黑"/>
          <w:sz w:val="24"/>
          <w:lang w:val="en-US" w:eastAsia="zh-CN"/>
        </w:rPr>
        <w:t>——</w:t>
      </w:r>
      <w:r>
        <w:rPr>
          <w:rFonts w:ascii="微软雅黑" w:hAnsi="微软雅黑" w:eastAsia="微软雅黑" w:cs="Arial"/>
          <w:color w:val="333333"/>
          <w:kern w:val="0"/>
          <w:sz w:val="24"/>
        </w:rPr>
        <w:t xml:space="preserve"> </w:t>
      </w:r>
      <w:r>
        <w:rPr>
          <w:rFonts w:hint="eastAsia" w:ascii="微软雅黑" w:hAnsi="微软雅黑" w:eastAsia="微软雅黑" w:cs="Arial"/>
          <w:color w:val="333333"/>
          <w:kern w:val="0"/>
          <w:sz w:val="24"/>
        </w:rPr>
        <w:t>《北京晚报》</w:t>
      </w:r>
    </w:p>
    <w:p>
      <w:pPr>
        <w:adjustRightInd w:val="0"/>
        <w:snapToGrid w:val="0"/>
        <w:rPr>
          <w:rFonts w:ascii="微软雅黑" w:hAnsi="微软雅黑" w:eastAsia="微软雅黑"/>
          <w:b/>
          <w:color w:val="C0504D" w:themeColor="accent2"/>
          <w:sz w:val="28"/>
          <w:szCs w:val="28"/>
        </w:rPr>
      </w:pPr>
    </w:p>
    <w:tbl>
      <w:tblPr>
        <w:tblStyle w:val="11"/>
        <w:tblW w:w="8424" w:type="dxa"/>
        <w:jc w:val="center"/>
        <w:tblCellSpacing w:w="0" w:type="dxa"/>
        <w:tblInd w:w="0" w:type="dxa"/>
        <w:tblLayout w:type="fixed"/>
        <w:tblCellMar>
          <w:top w:w="0" w:type="dxa"/>
          <w:left w:w="0" w:type="dxa"/>
          <w:bottom w:w="0" w:type="dxa"/>
          <w:right w:w="0" w:type="dxa"/>
        </w:tblCellMar>
      </w:tblPr>
      <w:tblGrid>
        <w:gridCol w:w="8424"/>
      </w:tblGrid>
      <w:tr>
        <w:tblPrEx>
          <w:tblLayout w:type="fixed"/>
          <w:tblCellMar>
            <w:top w:w="0" w:type="dxa"/>
            <w:left w:w="0" w:type="dxa"/>
            <w:bottom w:w="0" w:type="dxa"/>
            <w:right w:w="0" w:type="dxa"/>
          </w:tblCellMar>
        </w:tblPrEx>
        <w:trPr>
          <w:trHeight w:val="529" w:hRule="atLeast"/>
          <w:tblCellSpacing w:w="0" w:type="dxa"/>
          <w:jc w:val="center"/>
        </w:trPr>
        <w:tc>
          <w:tcPr>
            <w:tcW w:w="8424" w:type="dxa"/>
          </w:tcPr>
          <w:p>
            <w:pPr>
              <w:adjustRightInd w:val="0"/>
              <w:snapToGrid w:val="0"/>
              <w:ind w:firstLine="480" w:firstLineChars="200"/>
              <w:jc w:val="left"/>
              <w:rPr>
                <w:rFonts w:hint="eastAsia" w:ascii="微软雅黑" w:hAnsi="微软雅黑" w:eastAsia="微软雅黑" w:cs="Arial"/>
                <w:color w:val="333333"/>
                <w:kern w:val="0"/>
                <w:sz w:val="24"/>
              </w:rPr>
            </w:pPr>
            <w:r>
              <w:rPr>
                <w:rFonts w:hint="eastAsia" w:ascii="微软雅黑" w:hAnsi="微软雅黑" w:eastAsia="微软雅黑" w:cs="Arial"/>
                <w:color w:val="333333"/>
                <w:kern w:val="0"/>
                <w:sz w:val="24"/>
              </w:rPr>
              <w:t>《罗密欧与朱丽叶》中大量的抒情意象和抒情形式是莎士比亚其他悲剧中所没有的，男女主人公弹奏了一曲情意缠绵青春的颂歌、爱的颂歌。尽管这纯粹、美好的爱情与理性、法度和社会责任等尘世的价值观念相对立，但男女主人公在</w:t>
            </w:r>
          </w:p>
          <w:p>
            <w:pPr>
              <w:adjustRightInd w:val="0"/>
              <w:snapToGrid w:val="0"/>
              <w:jc w:val="left"/>
              <w:rPr>
                <w:rFonts w:ascii="微软雅黑" w:hAnsi="微软雅黑" w:eastAsia="微软雅黑" w:cs="Arial"/>
                <w:color w:val="333333"/>
                <w:kern w:val="0"/>
                <w:sz w:val="24"/>
              </w:rPr>
            </w:pPr>
            <w:r>
              <w:rPr>
                <w:rFonts w:hint="eastAsia" w:ascii="微软雅黑" w:hAnsi="微软雅黑" w:eastAsia="微软雅黑"/>
                <w:color w:val="984806" w:themeColor="accent6" w:themeShade="8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17470" cy="3009900"/>
                  <wp:effectExtent l="0" t="0" r="3810" b="7620"/>
                  <wp:wrapSquare wrapText="bothSides"/>
                  <wp:docPr id="1" name="图片 1" descr="微信图片_2017111721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71117212638"/>
                          <pic:cNvPicPr>
                            <a:picLocks noChangeAspect="1"/>
                          </pic:cNvPicPr>
                        </pic:nvPicPr>
                        <pic:blipFill>
                          <a:blip r:embed="rId7"/>
                          <a:stretch>
                            <a:fillRect/>
                          </a:stretch>
                        </pic:blipFill>
                        <pic:spPr>
                          <a:xfrm>
                            <a:off x="0" y="0"/>
                            <a:ext cx="2617470" cy="3009900"/>
                          </a:xfrm>
                          <a:prstGeom prst="rect">
                            <a:avLst/>
                          </a:prstGeom>
                        </pic:spPr>
                      </pic:pic>
                    </a:graphicData>
                  </a:graphic>
                </wp:anchor>
              </w:drawing>
            </w:r>
            <w:r>
              <w:rPr>
                <w:rFonts w:hint="eastAsia" w:ascii="微软雅黑" w:hAnsi="微软雅黑" w:eastAsia="微软雅黑" w:cs="Arial"/>
                <w:color w:val="333333"/>
                <w:kern w:val="0"/>
                <w:sz w:val="24"/>
              </w:rPr>
              <w:t>死亡中实现了尘世所不容的恋情，显示了青春和爱情的巨大力量，从而化解了两个家族的仇恨。莎士比亚用诗情化的笔触，使悲怆的死闪耀着人性的灵光，回响着浪漫的旋律。英国</w:t>
            </w:r>
            <w:r>
              <w:rPr>
                <w:rFonts w:ascii="微软雅黑" w:hAnsi="微软雅黑" w:eastAsia="微软雅黑" w:cs="Arial"/>
                <w:color w:val="333333"/>
                <w:kern w:val="0"/>
                <w:sz w:val="24"/>
              </w:rPr>
              <w:t>TNT</w:t>
            </w:r>
            <w:r>
              <w:rPr>
                <w:rFonts w:hint="eastAsia" w:ascii="微软雅黑" w:hAnsi="微软雅黑" w:eastAsia="微软雅黑" w:cs="Arial"/>
                <w:color w:val="333333"/>
                <w:kern w:val="0"/>
                <w:sz w:val="24"/>
              </w:rPr>
              <w:t>剧院长久以来以重现莎翁精神为己任，其中《罗密欧与朱丽叶》被德新社誉为“直击观众心灵，美丽得让人过目不忘。”秉承莎士比亚生活的维多利亚时期话剧采用现场音乐的传统，与剧情水乳交融的现场音乐和无伴奏合唱为</w:t>
            </w:r>
            <w:r>
              <w:rPr>
                <w:rFonts w:ascii="微软雅黑" w:hAnsi="微软雅黑" w:eastAsia="微软雅黑" w:cs="Arial"/>
                <w:color w:val="333333"/>
                <w:kern w:val="0"/>
                <w:sz w:val="24"/>
              </w:rPr>
              <w:t>TNT</w:t>
            </w:r>
            <w:r>
              <w:rPr>
                <w:rFonts w:hint="eastAsia" w:ascii="微软雅黑" w:hAnsi="微软雅黑" w:eastAsia="微软雅黑" w:cs="Arial"/>
                <w:color w:val="333333"/>
                <w:kern w:val="0"/>
                <w:sz w:val="24"/>
              </w:rPr>
              <w:t>版《罗密欧与朱丽叶》平添了许多魅力。</w:t>
            </w:r>
          </w:p>
          <w:p>
            <w:pPr>
              <w:adjustRightInd w:val="0"/>
              <w:snapToGrid w:val="0"/>
              <w:rPr>
                <w:rFonts w:ascii="微软雅黑" w:hAnsi="微软雅黑" w:eastAsia="微软雅黑"/>
                <w:color w:val="333333"/>
                <w:sz w:val="24"/>
              </w:rPr>
            </w:pPr>
          </w:p>
          <w:p>
            <w:pPr>
              <w:adjustRightInd w:val="0"/>
              <w:snapToGrid w:val="0"/>
              <w:ind w:firstLine="720" w:firstLineChars="300"/>
              <w:rPr>
                <w:rFonts w:ascii="微软雅黑" w:hAnsi="微软雅黑" w:eastAsia="微软雅黑"/>
                <w:color w:val="333333"/>
                <w:sz w:val="24"/>
              </w:rPr>
            </w:pPr>
            <w:r>
              <w:rPr>
                <w:rFonts w:ascii="微软雅黑" w:hAnsi="微软雅黑" w:eastAsia="微软雅黑"/>
                <w:color w:val="333333"/>
                <w:sz w:val="24"/>
              </w:rPr>
              <w:t>2009</w:t>
            </w:r>
            <w:r>
              <w:rPr>
                <w:rFonts w:hint="eastAsia" w:ascii="微软雅黑" w:hAnsi="微软雅黑" w:eastAsia="微软雅黑"/>
                <w:color w:val="333333"/>
                <w:sz w:val="24"/>
              </w:rPr>
              <w:t>年，画家</w:t>
            </w:r>
            <w:r>
              <w:fldChar w:fldCharType="begin"/>
            </w:r>
            <w:r>
              <w:instrText xml:space="preserve"> HYPERLINK "http://weibo.com/n/%E8%96%9B%E7%BB%A7%E4%B8%9A" </w:instrText>
            </w:r>
            <w:r>
              <w:fldChar w:fldCharType="separate"/>
            </w:r>
            <w:r>
              <w:rPr>
                <w:rStyle w:val="10"/>
                <w:rFonts w:hint="eastAsia" w:ascii="微软雅黑" w:hAnsi="微软雅黑" w:eastAsia="微软雅黑"/>
                <w:color w:val="333333"/>
                <w:sz w:val="24"/>
                <w:u w:val="none"/>
              </w:rPr>
              <w:t>薛继业</w:t>
            </w:r>
            <w:r>
              <w:rPr>
                <w:rStyle w:val="10"/>
                <w:rFonts w:hint="eastAsia" w:ascii="微软雅黑" w:hAnsi="微软雅黑" w:eastAsia="微软雅黑"/>
                <w:color w:val="333333"/>
                <w:sz w:val="24"/>
                <w:u w:val="none"/>
              </w:rPr>
              <w:fldChar w:fldCharType="end"/>
            </w:r>
            <w:r>
              <w:rPr>
                <w:rFonts w:hint="eastAsia" w:ascii="微软雅黑" w:hAnsi="微软雅黑" w:eastAsia="微软雅黑"/>
                <w:color w:val="333333"/>
                <w:sz w:val="24"/>
              </w:rPr>
              <w:t>观看英国</w:t>
            </w:r>
            <w:r>
              <w:rPr>
                <w:rFonts w:ascii="微软雅黑" w:hAnsi="微软雅黑" w:eastAsia="微软雅黑"/>
                <w:color w:val="333333"/>
                <w:sz w:val="24"/>
              </w:rPr>
              <w:t>TNT</w:t>
            </w:r>
            <w:r>
              <w:rPr>
                <w:rFonts w:hint="eastAsia" w:ascii="微软雅黑" w:hAnsi="微软雅黑" w:eastAsia="微软雅黑"/>
                <w:color w:val="333333"/>
                <w:sz w:val="24"/>
              </w:rPr>
              <w:t>剧院《罗密欧与朱丽叶》后，创作了同名油画系列，被舞蹈家沈培艺购得收藏（右图为沈培艺和画作合影）。沈培艺称，画作布满难以抑制的哀伤：当圣光透过屋顶撒下轻抚榻上已“睡去”的佳人，一切都结束，连同曾经昏天黑地的爱恨情仇，惟有他们撼天动地的爱情挽歌，流传至今。</w:t>
            </w:r>
          </w:p>
          <w:p>
            <w:pPr>
              <w:rPr>
                <w:rFonts w:hint="eastAsia" w:ascii="微软雅黑" w:hAnsi="微软雅黑" w:eastAsia="微软雅黑"/>
                <w:color w:val="C0504D" w:themeColor="accent2"/>
                <w:sz w:val="24"/>
              </w:rPr>
            </w:pPr>
            <w:r>
              <w:rPr>
                <w:rFonts w:ascii="微软雅黑" w:hAnsi="微软雅黑" w:eastAsia="微软雅黑"/>
                <w:color w:val="333333"/>
                <w:sz w:val="24"/>
              </w:rPr>
              <w:drawing>
                <wp:anchor distT="0" distB="0" distL="114300" distR="114300" simplePos="0" relativeHeight="251658240" behindDoc="0" locked="0" layoutInCell="1" allowOverlap="1">
                  <wp:simplePos x="0" y="0"/>
                  <wp:positionH relativeFrom="column">
                    <wp:posOffset>2788285</wp:posOffset>
                  </wp:positionH>
                  <wp:positionV relativeFrom="paragraph">
                    <wp:posOffset>353695</wp:posOffset>
                  </wp:positionV>
                  <wp:extent cx="2399030" cy="3010535"/>
                  <wp:effectExtent l="0" t="0" r="8890" b="6985"/>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8"/>
                          <a:srcRect/>
                          <a:stretch>
                            <a:fillRect/>
                          </a:stretch>
                        </pic:blipFill>
                        <pic:spPr>
                          <a:xfrm>
                            <a:off x="0" y="0"/>
                            <a:ext cx="2399030" cy="3010535"/>
                          </a:xfrm>
                          <a:prstGeom prst="rect">
                            <a:avLst/>
                          </a:prstGeom>
                          <a:noFill/>
                          <a:ln w="9525">
                            <a:noFill/>
                            <a:miter lim="800000"/>
                            <a:headEnd/>
                            <a:tailEnd/>
                          </a:ln>
                        </pic:spPr>
                      </pic:pic>
                    </a:graphicData>
                  </a:graphic>
                </wp:anchor>
              </w:drawing>
            </w:r>
          </w:p>
          <w:p>
            <w:pPr>
              <w:rPr>
                <w:rFonts w:hint="eastAsia" w:ascii="微软雅黑" w:hAnsi="微软雅黑" w:eastAsia="微软雅黑"/>
                <w:sz w:val="24"/>
              </w:rPr>
            </w:pPr>
            <w:r>
              <w:rPr>
                <w:rFonts w:hint="eastAsia" w:ascii="微软雅黑" w:hAnsi="微软雅黑" w:eastAsia="微软雅黑"/>
                <w:color w:val="C0504D" w:themeColor="accent2"/>
                <w:sz w:val="24"/>
              </w:rPr>
              <w:t>真爱，永恒的力量</w:t>
            </w:r>
            <w:r>
              <w:rPr>
                <w:rFonts w:hint="eastAsia" w:ascii="微软雅黑" w:hAnsi="微软雅黑" w:eastAsia="微软雅黑"/>
                <w:sz w:val="24"/>
              </w:rPr>
              <w:t xml:space="preserve"> </w:t>
            </w:r>
            <w:r>
              <w:rPr>
                <w:rFonts w:hint="eastAsia" w:ascii="微软雅黑" w:hAnsi="微软雅黑" w:eastAsia="微软雅黑"/>
              </w:rPr>
              <w:t xml:space="preserve">  </w:t>
            </w:r>
            <w:r>
              <w:rPr>
                <w:rFonts w:ascii="微软雅黑" w:hAnsi="微软雅黑" w:eastAsia="微软雅黑"/>
              </w:rPr>
              <w:t>–</w:t>
            </w:r>
            <w:r>
              <w:rPr>
                <w:rFonts w:hint="eastAsia" w:ascii="微软雅黑" w:hAnsi="微软雅黑" w:eastAsia="微软雅黑"/>
              </w:rPr>
              <w:t xml:space="preserve"> </w:t>
            </w:r>
            <w:r>
              <w:rPr>
                <w:rFonts w:hint="eastAsia" w:ascii="微软雅黑" w:hAnsi="微软雅黑" w:eastAsia="微软雅黑"/>
                <w:sz w:val="24"/>
              </w:rPr>
              <w:t>北京大学陈娜</w:t>
            </w:r>
          </w:p>
          <w:p>
            <w:pPr>
              <w:ind w:left="82" w:leftChars="39"/>
              <w:rPr>
                <w:rFonts w:hint="eastAsia" w:ascii="微软雅黑" w:hAnsi="微软雅黑" w:eastAsia="微软雅黑"/>
                <w:sz w:val="24"/>
              </w:rPr>
            </w:pPr>
          </w:p>
          <w:p>
            <w:pPr>
              <w:adjustRightInd w:val="0"/>
              <w:snapToGrid w:val="0"/>
              <w:ind w:left="82" w:leftChars="39" w:firstLine="480" w:firstLineChars="200"/>
              <w:rPr>
                <w:rFonts w:ascii="微软雅黑" w:hAnsi="微软雅黑" w:eastAsia="微软雅黑"/>
                <w:sz w:val="24"/>
              </w:rPr>
            </w:pPr>
            <w:r>
              <w:rPr>
                <w:rFonts w:ascii="微软雅黑" w:hAnsi="微软雅黑" w:eastAsia="微软雅黑"/>
                <w:sz w:val="24"/>
              </w:rPr>
              <w:t>意大利维洛那城的一对青年男女坠入爱河，却因家族不共戴天的世仇而被拆散，命运的捉弄使得两人最终双双殉情。莎士比亚的经典悲剧，穿越四百多年历史的风尘，走上了舞台。其情节的曲折凄凉自不必说，尤其是在编导的精心构思和演员的全情演出下，更有了文字难以勾勒的立体感和亲和力。</w:t>
            </w:r>
          </w:p>
          <w:p>
            <w:pPr>
              <w:adjustRightInd w:val="0"/>
              <w:snapToGrid w:val="0"/>
              <w:rPr>
                <w:rFonts w:ascii="微软雅黑" w:hAnsi="微软雅黑" w:eastAsia="微软雅黑"/>
                <w:sz w:val="24"/>
              </w:rPr>
            </w:pPr>
          </w:p>
          <w:p>
            <w:pPr>
              <w:adjustRightInd w:val="0"/>
              <w:snapToGrid w:val="0"/>
              <w:ind w:left="82" w:firstLine="480" w:firstLineChars="200"/>
              <w:rPr>
                <w:rFonts w:ascii="微软雅黑" w:hAnsi="微软雅黑" w:eastAsia="微软雅黑"/>
                <w:sz w:val="24"/>
              </w:rPr>
            </w:pPr>
            <w:r>
              <w:rPr>
                <w:rFonts w:ascii="微软雅黑" w:hAnsi="微软雅黑" w:eastAsia="微软雅黑"/>
                <w:sz w:val="24"/>
              </w:rPr>
              <w:t>剧中对人物性格的刻画和表现确实令人赞叹，哪怕是凯普莱特家的男仆甚至花园里的神像雕塑都同样有血有肉，格外丰满。看似愣头愣脑的男仆在伯爵身后发牢骚做鬼脸，一个忠心耿耿却也有性格有脾气的真实形象无意中拉近了与观众的距离。偶尔无理取闹却心肠极好的奶妈，让人时而哭笑不得，时而感动万分。虚伪蛮横的凯普莱特，冷漠的夫人，火爆易怒的提伯尔特，犟脾气的茂丘西奥……每一个人物都不只是文字中抽象的形象，尤其是年轻人嬉闹的小动作，将阳春白雪的经典著作融进了时代生活。至于罗密欧和朱丽叶这两位主角的刻画，就更不必说了。热恋的痴情，不能自持的小小失态，思念的惆怅漫长，离别的肝肠寸断……眉眼间的悲喜和丰富到位的肢体语言，与台词配合得天衣无缝。诗一般的抒情丝毫不显突兀。情节高潮处，罗密欧饮下毒药后一点点挣扎着倒下，朱丽叶从昏睡中渐渐呢喃着清醒，即使这样无声的表演，仍然能以强烈的对比将悲痛放大到极致，撕心裂肺。</w:t>
            </w:r>
          </w:p>
          <w:p>
            <w:pPr>
              <w:adjustRightInd w:val="0"/>
              <w:snapToGrid w:val="0"/>
              <w:rPr>
                <w:rFonts w:ascii="微软雅黑" w:hAnsi="微软雅黑" w:eastAsia="微软雅黑"/>
                <w:sz w:val="24"/>
              </w:rPr>
            </w:pPr>
          </w:p>
          <w:p>
            <w:pPr>
              <w:adjustRightInd w:val="0"/>
              <w:snapToGrid w:val="0"/>
              <w:ind w:left="82" w:leftChars="39" w:firstLine="480" w:firstLineChars="200"/>
              <w:rPr>
                <w:rFonts w:ascii="微软雅黑" w:hAnsi="微软雅黑" w:eastAsia="微软雅黑"/>
                <w:sz w:val="24"/>
              </w:rPr>
            </w:pPr>
            <w:r>
              <w:rPr>
                <w:rFonts w:ascii="微软雅黑" w:hAnsi="微软雅黑" w:eastAsia="微软雅黑"/>
                <w:sz w:val="24"/>
              </w:rPr>
              <w:t>在全剧中贯穿着一个很难准确定义的角色——戴着白面具的黑衣人。然而从一开场到决斗再到墓地里的死亡，每一次他的出现都将黑暗不祥的气氛渲染得恰到好处。可以说，TNT剧团对气氛渲染的拿捏，是其他一般剧团所难以企及的。此剧中除却黑衣人，还有那与剧情水乳交融的现场伴奏以及如同天籁的无伴奏合唱，都为莎翁笔下的悲喜增添了无限的生命力。</w:t>
            </w:r>
          </w:p>
          <w:p>
            <w:pPr>
              <w:adjustRightInd w:val="0"/>
              <w:snapToGrid w:val="0"/>
              <w:rPr>
                <w:rFonts w:ascii="微软雅黑" w:hAnsi="微软雅黑" w:eastAsia="微软雅黑"/>
                <w:sz w:val="24"/>
              </w:rPr>
            </w:pPr>
          </w:p>
          <w:p>
            <w:pPr>
              <w:adjustRightInd w:val="0"/>
              <w:snapToGrid w:val="0"/>
              <w:ind w:left="82" w:leftChars="39" w:firstLine="480" w:firstLineChars="200"/>
              <w:rPr>
                <w:rFonts w:ascii="微软雅黑" w:hAnsi="微软雅黑" w:eastAsia="微软雅黑"/>
                <w:sz w:val="24"/>
              </w:rPr>
            </w:pPr>
            <w:r>
              <w:rPr>
                <w:rFonts w:ascii="微软雅黑" w:hAnsi="微软雅黑" w:eastAsia="微软雅黑"/>
                <w:sz w:val="24"/>
              </w:rPr>
              <w:t>同样值得一提的是此剧的舞台设计以及场景转换方式。TNT剧团每一次演出的舞美都让人眼前一亮，比如《坎特威尔城堡的幽灵》《仲夏夜之梦》等等。该剧中的布景看似非常简单，然而就是一个门框、一道门帘、两块并不精致的木质挡板，变幻出了街道、厅室、花园、教堂等等风格迥异的场景。这种舞台的抽象化在灯光和音乐的配合下，给观众留下了巨大的想象空间。各个场景间的转换也堪称绝妙，或是成为了剧中角色表演的一部分，或是其本身就是优美的表演。每一个场景转换时灯光都只是变暗而从不熄灭，这在大大增加了舞美要求的情况下，很好地保持了整个演出的连贯流畅。</w:t>
            </w:r>
          </w:p>
          <w:p>
            <w:pPr>
              <w:adjustRightInd w:val="0"/>
              <w:snapToGrid w:val="0"/>
              <w:ind w:left="82" w:leftChars="39"/>
              <w:rPr>
                <w:rFonts w:ascii="微软雅黑" w:hAnsi="微软雅黑" w:eastAsia="微软雅黑"/>
                <w:sz w:val="24"/>
              </w:rPr>
            </w:pPr>
          </w:p>
          <w:p>
            <w:pPr>
              <w:adjustRightInd w:val="0"/>
              <w:snapToGrid w:val="0"/>
              <w:ind w:left="82" w:leftChars="39" w:firstLine="480" w:firstLineChars="200"/>
              <w:rPr>
                <w:rFonts w:ascii="微软雅黑" w:hAnsi="微软雅黑" w:eastAsia="微软雅黑"/>
                <w:sz w:val="24"/>
              </w:rPr>
            </w:pPr>
            <w:r>
              <w:rPr>
                <w:rFonts w:ascii="微软雅黑" w:hAnsi="微软雅黑" w:eastAsia="微软雅黑"/>
                <w:sz w:val="24"/>
              </w:rPr>
              <w:t>TNT剧院倡导让观众成为戏剧的参与者而非旁观者，他们也确实很好地践行了这一理念。在为观众创造了丰富想象空间的同时，表演者也保持着与观众的充分互动。而音乐等多种形式的艺术表现也使得戏剧内容和情感得到充分的表达。</w:t>
            </w:r>
          </w:p>
          <w:p>
            <w:pPr>
              <w:ind w:left="82" w:leftChars="39"/>
            </w:pPr>
          </w:p>
        </w:tc>
      </w:tr>
      <w:tr>
        <w:tblPrEx>
          <w:tblLayout w:type="fixed"/>
          <w:tblCellMar>
            <w:top w:w="0" w:type="dxa"/>
            <w:left w:w="0" w:type="dxa"/>
            <w:bottom w:w="0" w:type="dxa"/>
            <w:right w:w="0" w:type="dxa"/>
          </w:tblCellMar>
        </w:tblPrEx>
        <w:trPr>
          <w:trHeight w:val="529" w:hRule="atLeast"/>
          <w:tblCellSpacing w:w="0" w:type="dxa"/>
          <w:jc w:val="center"/>
        </w:trPr>
        <w:tc>
          <w:tcPr>
            <w:tcW w:w="8424" w:type="dxa"/>
          </w:tcPr>
          <w:p>
            <w:r>
              <w:rPr>
                <w:rFonts w:hint="eastAsia" w:ascii="微软雅黑" w:hAnsi="微软雅黑" w:eastAsia="微软雅黑"/>
                <w:color w:val="984806" w:themeColor="accent6" w:themeShade="80"/>
                <w:sz w:val="28"/>
                <w:szCs w:val="28"/>
              </w:rPr>
              <w:t>关于英国TNT剧院</w:t>
            </w:r>
          </w:p>
        </w:tc>
      </w:tr>
    </w:tbl>
    <w:p>
      <w:pPr>
        <w:rPr>
          <w:rFonts w:hint="eastAsia" w:ascii="微软雅黑" w:hAnsi="微软雅黑" w:eastAsia="微软雅黑"/>
          <w:color w:val="984806" w:themeColor="accent6" w:themeShade="80"/>
          <w:sz w:val="28"/>
          <w:szCs w:val="28"/>
        </w:rPr>
      </w:pPr>
      <w:r>
        <w:rPr>
          <w:rFonts w:hint="eastAsia" w:ascii="微软雅黑" w:hAnsi="微软雅黑" w:eastAsia="微软雅黑"/>
          <w:color w:val="984806" w:themeColor="accent6" w:themeShade="80"/>
          <w:sz w:val="28"/>
          <w:szCs w:val="28"/>
        </w:rPr>
        <w:drawing>
          <wp:inline distT="0" distB="0" distL="114300" distR="114300">
            <wp:extent cx="5225415" cy="4989195"/>
            <wp:effectExtent l="0" t="0" r="1905" b="9525"/>
            <wp:docPr id="5" name="图片 5" descr="微信图片_2017111721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71117212606"/>
                    <pic:cNvPicPr>
                      <a:picLocks noChangeAspect="1"/>
                    </pic:cNvPicPr>
                  </pic:nvPicPr>
                  <pic:blipFill>
                    <a:blip r:embed="rId9"/>
                    <a:stretch>
                      <a:fillRect/>
                    </a:stretch>
                  </pic:blipFill>
                  <pic:spPr>
                    <a:xfrm>
                      <a:off x="0" y="0"/>
                      <a:ext cx="5225415" cy="4989195"/>
                    </a:xfrm>
                    <a:prstGeom prst="rect">
                      <a:avLst/>
                    </a:prstGeom>
                  </pic:spPr>
                </pic:pic>
              </a:graphicData>
            </a:graphic>
          </wp:inline>
        </w:drawing>
      </w:r>
    </w:p>
    <w:p>
      <w:pPr>
        <w:rPr>
          <w:rFonts w:hint="eastAsia" w:ascii="微软雅黑" w:hAnsi="微软雅黑" w:eastAsia="微软雅黑"/>
          <w:color w:val="984806" w:themeColor="accent6" w:themeShade="80"/>
          <w:sz w:val="28"/>
          <w:szCs w:val="28"/>
        </w:rPr>
      </w:pPr>
    </w:p>
    <w:p>
      <w:pPr>
        <w:adjustRightInd w:val="0"/>
        <w:snapToGrid w:val="0"/>
        <w:rPr>
          <w:rFonts w:hint="eastAsia" w:ascii="微软雅黑" w:hAnsi="微软雅黑" w:eastAsia="微软雅黑"/>
          <w:color w:val="333333"/>
          <w:sz w:val="24"/>
        </w:rPr>
      </w:pPr>
      <w:r>
        <w:rPr>
          <w:rFonts w:hint="eastAsia" w:ascii="微软雅黑" w:hAnsi="微软雅黑" w:eastAsia="微软雅黑"/>
          <w:color w:val="333333"/>
          <w:sz w:val="24"/>
        </w:rPr>
        <w:t>英国TNT剧院于1980年创立，</w:t>
      </w:r>
      <w:r>
        <w:rPr>
          <w:rStyle w:val="8"/>
          <w:rFonts w:hint="eastAsia" w:ascii="微软雅黑" w:hAnsi="微软雅黑" w:eastAsia="微软雅黑"/>
          <w:b w:val="0"/>
          <w:color w:val="333333"/>
          <w:sz w:val="24"/>
          <w:shd w:val="clear" w:color="auto" w:fill="FFFFFF"/>
        </w:rPr>
        <w:t>不仅在英国本土声名显赫，而且是全球巡演国家和场次最多的英语剧团——几乎占据了德国全部英语话剧市场，也是在法国、日本和俄罗斯演出最多的英语剧团。</w:t>
      </w:r>
      <w:r>
        <w:rPr>
          <w:rFonts w:hint="eastAsia" w:ascii="微软雅黑" w:hAnsi="微软雅黑" w:eastAsia="微软雅黑"/>
          <w:color w:val="333333"/>
          <w:sz w:val="24"/>
        </w:rPr>
        <w:t>单是上一演出季，剧院就有14部剧作在三大洲上演一千余场。1993年起，英国TNT剧团开始和美国欧洲戏剧集团（American Drama Group Europe）合作制作演出。剧团艺术总监保罗·斯特宾斯获奖无数，包括在慕尼黑双年展、爱丁堡艺术节、法兰克福艺术节的奖项。剧院亦曾和多个国际戏剧节和著名剧院合作演出，包括雅典音乐厅、圣彼得堡国立喜剧院等，被誉为“首屈一指的巡演剧团”（香港《南华早报》）、“动人肺腑、魅力非凡的剧场”（纽约《乡村之声》）。</w:t>
      </w:r>
    </w:p>
    <w:p>
      <w:pPr>
        <w:adjustRightInd w:val="0"/>
        <w:snapToGrid w:val="0"/>
        <w:rPr>
          <w:rFonts w:hint="eastAsia" w:ascii="微软雅黑" w:hAnsi="微软雅黑" w:eastAsia="微软雅黑"/>
          <w:color w:val="333333"/>
          <w:sz w:val="24"/>
        </w:rPr>
      </w:pPr>
      <w:bookmarkStart w:id="0" w:name="_GoBack"/>
      <w:bookmarkEnd w:id="0"/>
    </w:p>
    <w:p>
      <w:pPr>
        <w:adjustRightInd w:val="0"/>
        <w:snapToGrid w:val="0"/>
        <w:rPr>
          <w:rFonts w:ascii="微软雅黑" w:hAnsi="微软雅黑" w:eastAsia="微软雅黑"/>
          <w:color w:val="333333"/>
          <w:sz w:val="24"/>
        </w:rPr>
      </w:pPr>
    </w:p>
    <w:p>
      <w:pPr>
        <w:adjustRightInd w:val="0"/>
        <w:snapToGrid w:val="0"/>
        <w:rPr>
          <w:rFonts w:ascii="微软雅黑" w:hAnsi="微软雅黑" w:eastAsia="微软雅黑"/>
          <w:color w:val="333333"/>
          <w:sz w:val="24"/>
        </w:rPr>
      </w:pPr>
      <w:r>
        <w:rPr>
          <w:rFonts w:hint="eastAsia" w:ascii="微软雅黑" w:hAnsi="微软雅黑" w:eastAsia="微软雅黑"/>
          <w:color w:val="333333"/>
          <w:sz w:val="24"/>
        </w:rPr>
        <w:t>TNT既是英文炸药的缩写，亦是新剧场的缩写，剧院致力融合各种演艺形式，成为具爆炸力的新剧场。TNT以多种剧场元素为表演根基，包括英国传统戏剧、东欧大师戈罗托夫斯基和梅耶荷德的形体剧场和意大利假面喜剧等。TNT的戏剧作品有浓厚的音乐剧特质，所有作品均委约作曲家全新配乐，导演与编舞通力合作，对演员的选拔亦看重其驾驭戏剧、音乐、舞蹈的综合能力。</w:t>
      </w:r>
      <w:r>
        <w:rPr>
          <w:rStyle w:val="8"/>
          <w:rFonts w:hint="eastAsia" w:ascii="微软雅黑" w:hAnsi="微软雅黑" w:eastAsia="微软雅黑"/>
          <w:b w:val="0"/>
          <w:color w:val="333333"/>
          <w:sz w:val="24"/>
          <w:shd w:val="clear" w:color="auto" w:fill="FFFFFF"/>
        </w:rPr>
        <w:t>TNT剧院从2000年开始创作莎士比亚的系列作品，包括《哈姆雷特》、《麦克白》、《仲夏夜之梦》、《罗密欧与朱丽叶》和《驯悍记》等。而</w:t>
      </w:r>
      <w:r>
        <w:rPr>
          <w:rFonts w:hint="eastAsia" w:ascii="微软雅黑" w:hAnsi="微软雅黑" w:eastAsia="微软雅黑"/>
          <w:color w:val="333333"/>
          <w:sz w:val="24"/>
        </w:rPr>
        <w:t>如同莎翁时代一样,一人分饰多角和性别反串也是鲜明的TNT特色。</w:t>
      </w:r>
    </w:p>
    <w:p>
      <w:pPr>
        <w:rPr>
          <w:rStyle w:val="8"/>
          <w:b w:val="0"/>
          <w:color w:val="333333"/>
          <w:szCs w:val="21"/>
          <w:shd w:val="clear" w:color="auto" w:fill="FFFFFF"/>
        </w:rPr>
      </w:pPr>
    </w:p>
    <w:p>
      <w:pPr>
        <w:rPr>
          <w:rFonts w:ascii="幼圆" w:hAnsi="楷体" w:eastAsia="幼圆"/>
          <w:b/>
          <w:color w:val="C0504D" w:themeColor="accent2"/>
          <w:sz w:val="24"/>
        </w:rPr>
      </w:pPr>
      <w:r>
        <w:rPr>
          <w:rFonts w:hint="eastAsia" w:ascii="幼圆" w:hAnsi="楷体" w:eastAsia="幼圆"/>
          <w:b/>
          <w:color w:val="C0504D" w:themeColor="accent2"/>
          <w:sz w:val="24"/>
        </w:rPr>
        <w:drawing>
          <wp:inline distT="0" distB="0" distL="0" distR="0">
            <wp:extent cx="3895725" cy="2194560"/>
            <wp:effectExtent l="19050" t="0" r="9525" b="0"/>
            <wp:docPr id="2" name="图片 1" descr="Paul and Prince Cha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Paul and Prince Charles.jpg"/>
                    <pic:cNvPicPr>
                      <a:picLocks noChangeAspect="1"/>
                    </pic:cNvPicPr>
                  </pic:nvPicPr>
                  <pic:blipFill>
                    <a:blip r:embed="rId10"/>
                    <a:stretch>
                      <a:fillRect/>
                    </a:stretch>
                  </pic:blipFill>
                  <pic:spPr>
                    <a:xfrm>
                      <a:off x="0" y="0"/>
                      <a:ext cx="3895725" cy="2195039"/>
                    </a:xfrm>
                    <a:prstGeom prst="rect">
                      <a:avLst/>
                    </a:prstGeom>
                  </pic:spPr>
                </pic:pic>
              </a:graphicData>
            </a:graphic>
          </wp:inline>
        </w:drawing>
      </w:r>
    </w:p>
    <w:p>
      <w:pPr>
        <w:adjustRightInd w:val="0"/>
        <w:snapToGrid w:val="0"/>
        <w:rPr>
          <w:rFonts w:ascii="微软雅黑" w:hAnsi="微软雅黑" w:eastAsia="微软雅黑"/>
          <w:sz w:val="24"/>
        </w:rPr>
      </w:pPr>
      <w:r>
        <w:rPr>
          <w:rFonts w:hint="eastAsia" w:ascii="微软雅黑" w:hAnsi="微软雅黑" w:eastAsia="微软雅黑"/>
          <w:sz w:val="24"/>
        </w:rPr>
        <w:t>上图为查尔斯王子代表英国女王授予艺术总监保罗</w:t>
      </w:r>
      <w:r>
        <w:rPr>
          <w:rFonts w:hint="eastAsia" w:ascii="微软雅黑" w:hAnsi="微软雅黑" w:eastAsia="微软雅黑" w:cs="宋体"/>
          <w:kern w:val="0"/>
          <w:sz w:val="24"/>
          <w:lang w:val="zh-CN"/>
        </w:rPr>
        <w:t>·</w:t>
      </w:r>
      <w:r>
        <w:rPr>
          <w:rFonts w:hint="eastAsia" w:ascii="微软雅黑" w:hAnsi="微软雅黑" w:eastAsia="微软雅黑"/>
          <w:sz w:val="24"/>
        </w:rPr>
        <w:t>斯特宾大英帝国勋章（MBE)，以表彰TNT剧院对英国戏剧的杰出贡献。</w:t>
      </w:r>
    </w:p>
    <w:p>
      <w:pPr>
        <w:rPr>
          <w:rFonts w:ascii="宋体"/>
          <w:sz w:val="24"/>
        </w:rPr>
      </w:pP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微软雅黑">
    <w:panose1 w:val="020B0503020204020204"/>
    <w:charset w:val="86"/>
    <w:family w:val="swiss"/>
    <w:pitch w:val="default"/>
    <w:sig w:usb0="80000287" w:usb1="28CF3C50" w:usb2="00000016" w:usb3="00000000" w:csb0="0004001F" w:csb1="00000000"/>
  </w:font>
  <w:font w:name="华文行楷">
    <w:panose1 w:val="02010800040101010101"/>
    <w:charset w:val="50"/>
    <w:family w:val="auto"/>
    <w:pitch w:val="default"/>
    <w:sig w:usb0="00000001" w:usb1="080F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9"/>
      </w:rPr>
    </w:pPr>
    <w:r>
      <w:rPr>
        <w:rStyle w:val="9"/>
      </w:rPr>
      <w:fldChar w:fldCharType="begin"/>
    </w:r>
    <w:r>
      <w:rPr>
        <w:rStyle w:val="9"/>
      </w:rPr>
      <w:instrText xml:space="preserve">PAGE  </w:instrText>
    </w:r>
    <w:r>
      <w:rPr>
        <w:rStyle w:val="9"/>
      </w:rPr>
      <w:fldChar w:fldCharType="separate"/>
    </w:r>
    <w:r>
      <w:rPr>
        <w:rStyle w:val="9"/>
      </w:rPr>
      <w:t>1</w:t>
    </w:r>
    <w:r>
      <w:rPr>
        <w:rStyle w:val="9"/>
      </w:rPr>
      <w:fldChar w:fldCharType="end"/>
    </w:r>
  </w:p>
  <w:p>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9"/>
      </w:rPr>
    </w:pPr>
    <w:r>
      <w:rPr>
        <w:rStyle w:val="9"/>
      </w:rPr>
      <w:fldChar w:fldCharType="begin"/>
    </w:r>
    <w:r>
      <w:rPr>
        <w:rStyle w:val="9"/>
      </w:rPr>
      <w:instrText xml:space="preserve">PAGE  </w:instrText>
    </w:r>
    <w:r>
      <w:rPr>
        <w:rStyle w:val="9"/>
      </w:rPr>
      <w:fldChar w:fldCharType="end"/>
    </w:r>
  </w:p>
  <w:p>
    <w:pPr>
      <w:pStyle w:val="4"/>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BC3"/>
    <w:rsid w:val="00001EAA"/>
    <w:rsid w:val="00002F7D"/>
    <w:rsid w:val="000038C5"/>
    <w:rsid w:val="00007499"/>
    <w:rsid w:val="000178B4"/>
    <w:rsid w:val="00020EFA"/>
    <w:rsid w:val="0002181A"/>
    <w:rsid w:val="0002333E"/>
    <w:rsid w:val="000241FD"/>
    <w:rsid w:val="000260B4"/>
    <w:rsid w:val="0003161C"/>
    <w:rsid w:val="000328E2"/>
    <w:rsid w:val="0003627D"/>
    <w:rsid w:val="00036953"/>
    <w:rsid w:val="000400BE"/>
    <w:rsid w:val="00040D10"/>
    <w:rsid w:val="0004283E"/>
    <w:rsid w:val="00042CA2"/>
    <w:rsid w:val="000445C3"/>
    <w:rsid w:val="00046C06"/>
    <w:rsid w:val="000472FB"/>
    <w:rsid w:val="000540F1"/>
    <w:rsid w:val="00055055"/>
    <w:rsid w:val="00064B37"/>
    <w:rsid w:val="0007062A"/>
    <w:rsid w:val="00070B0D"/>
    <w:rsid w:val="0007172D"/>
    <w:rsid w:val="00073A23"/>
    <w:rsid w:val="000748A7"/>
    <w:rsid w:val="000757EA"/>
    <w:rsid w:val="00077A89"/>
    <w:rsid w:val="00083863"/>
    <w:rsid w:val="00087DEA"/>
    <w:rsid w:val="00087F3C"/>
    <w:rsid w:val="00093073"/>
    <w:rsid w:val="000946C0"/>
    <w:rsid w:val="00095E60"/>
    <w:rsid w:val="000A1173"/>
    <w:rsid w:val="000A14DA"/>
    <w:rsid w:val="000A3F5E"/>
    <w:rsid w:val="000A478E"/>
    <w:rsid w:val="000A65B9"/>
    <w:rsid w:val="000A6646"/>
    <w:rsid w:val="000A6C53"/>
    <w:rsid w:val="000A70EC"/>
    <w:rsid w:val="000B27FC"/>
    <w:rsid w:val="000B4B08"/>
    <w:rsid w:val="000B67E8"/>
    <w:rsid w:val="000B6E36"/>
    <w:rsid w:val="000C15A8"/>
    <w:rsid w:val="000D2C46"/>
    <w:rsid w:val="000D43DA"/>
    <w:rsid w:val="000D7FFE"/>
    <w:rsid w:val="000E3DD7"/>
    <w:rsid w:val="000E45F8"/>
    <w:rsid w:val="000E7234"/>
    <w:rsid w:val="000F00F4"/>
    <w:rsid w:val="000F541E"/>
    <w:rsid w:val="000F6DD3"/>
    <w:rsid w:val="00106841"/>
    <w:rsid w:val="00113F14"/>
    <w:rsid w:val="00113FEB"/>
    <w:rsid w:val="0011589D"/>
    <w:rsid w:val="0011698E"/>
    <w:rsid w:val="001171DF"/>
    <w:rsid w:val="001178C1"/>
    <w:rsid w:val="00120258"/>
    <w:rsid w:val="00120BEA"/>
    <w:rsid w:val="0012283A"/>
    <w:rsid w:val="00124CD5"/>
    <w:rsid w:val="001261A9"/>
    <w:rsid w:val="001279F3"/>
    <w:rsid w:val="0013182A"/>
    <w:rsid w:val="001318C9"/>
    <w:rsid w:val="001368DA"/>
    <w:rsid w:val="00136CEB"/>
    <w:rsid w:val="001416B7"/>
    <w:rsid w:val="00142253"/>
    <w:rsid w:val="001438F7"/>
    <w:rsid w:val="00143CC9"/>
    <w:rsid w:val="0014765D"/>
    <w:rsid w:val="001548A4"/>
    <w:rsid w:val="00154A5E"/>
    <w:rsid w:val="0015527F"/>
    <w:rsid w:val="00156538"/>
    <w:rsid w:val="00157450"/>
    <w:rsid w:val="0016523C"/>
    <w:rsid w:val="00166723"/>
    <w:rsid w:val="001668CA"/>
    <w:rsid w:val="001711F1"/>
    <w:rsid w:val="00171EDB"/>
    <w:rsid w:val="00172004"/>
    <w:rsid w:val="00172CFD"/>
    <w:rsid w:val="00180B7E"/>
    <w:rsid w:val="00181725"/>
    <w:rsid w:val="0018629E"/>
    <w:rsid w:val="0019076F"/>
    <w:rsid w:val="001909CB"/>
    <w:rsid w:val="00190CEF"/>
    <w:rsid w:val="0019106D"/>
    <w:rsid w:val="0019134F"/>
    <w:rsid w:val="0019407D"/>
    <w:rsid w:val="001941CF"/>
    <w:rsid w:val="00194297"/>
    <w:rsid w:val="00195BCF"/>
    <w:rsid w:val="001972FA"/>
    <w:rsid w:val="001A0D4C"/>
    <w:rsid w:val="001A0FAB"/>
    <w:rsid w:val="001A1980"/>
    <w:rsid w:val="001A4FE9"/>
    <w:rsid w:val="001B0725"/>
    <w:rsid w:val="001B1BA9"/>
    <w:rsid w:val="001B3886"/>
    <w:rsid w:val="001B43D6"/>
    <w:rsid w:val="001B4A74"/>
    <w:rsid w:val="001B574E"/>
    <w:rsid w:val="001B626A"/>
    <w:rsid w:val="001C3AD9"/>
    <w:rsid w:val="001C3C2E"/>
    <w:rsid w:val="001C6944"/>
    <w:rsid w:val="001D2283"/>
    <w:rsid w:val="001D4FBE"/>
    <w:rsid w:val="001D5B29"/>
    <w:rsid w:val="001D6D5B"/>
    <w:rsid w:val="001D7479"/>
    <w:rsid w:val="001E02B9"/>
    <w:rsid w:val="001E1B42"/>
    <w:rsid w:val="001E51A8"/>
    <w:rsid w:val="001E54E6"/>
    <w:rsid w:val="001E5685"/>
    <w:rsid w:val="001E6000"/>
    <w:rsid w:val="001F0AF9"/>
    <w:rsid w:val="001F3BA4"/>
    <w:rsid w:val="001F4278"/>
    <w:rsid w:val="001F49DE"/>
    <w:rsid w:val="00201E9F"/>
    <w:rsid w:val="00203BF1"/>
    <w:rsid w:val="0020426C"/>
    <w:rsid w:val="002133D8"/>
    <w:rsid w:val="002146CF"/>
    <w:rsid w:val="002179DB"/>
    <w:rsid w:val="00220A29"/>
    <w:rsid w:val="00223CEC"/>
    <w:rsid w:val="00224459"/>
    <w:rsid w:val="00226552"/>
    <w:rsid w:val="00226AB3"/>
    <w:rsid w:val="002328BB"/>
    <w:rsid w:val="00235B4A"/>
    <w:rsid w:val="00236F07"/>
    <w:rsid w:val="00237529"/>
    <w:rsid w:val="00240D7F"/>
    <w:rsid w:val="0024119C"/>
    <w:rsid w:val="00242239"/>
    <w:rsid w:val="002437F9"/>
    <w:rsid w:val="002447A8"/>
    <w:rsid w:val="00244BFE"/>
    <w:rsid w:val="002455CE"/>
    <w:rsid w:val="00245CCA"/>
    <w:rsid w:val="002512F3"/>
    <w:rsid w:val="00253D61"/>
    <w:rsid w:val="00255097"/>
    <w:rsid w:val="00255921"/>
    <w:rsid w:val="002559E6"/>
    <w:rsid w:val="00260B33"/>
    <w:rsid w:val="002641D9"/>
    <w:rsid w:val="00274C95"/>
    <w:rsid w:val="00276492"/>
    <w:rsid w:val="00277298"/>
    <w:rsid w:val="00281B9E"/>
    <w:rsid w:val="00282E2A"/>
    <w:rsid w:val="002870B9"/>
    <w:rsid w:val="00291A6A"/>
    <w:rsid w:val="0029203A"/>
    <w:rsid w:val="002920F2"/>
    <w:rsid w:val="002921EC"/>
    <w:rsid w:val="002956DB"/>
    <w:rsid w:val="002A1230"/>
    <w:rsid w:val="002A159B"/>
    <w:rsid w:val="002A31C2"/>
    <w:rsid w:val="002A42E2"/>
    <w:rsid w:val="002A47C2"/>
    <w:rsid w:val="002A6055"/>
    <w:rsid w:val="002A692C"/>
    <w:rsid w:val="002A7F14"/>
    <w:rsid w:val="002B0896"/>
    <w:rsid w:val="002C0650"/>
    <w:rsid w:val="002C2736"/>
    <w:rsid w:val="002C3884"/>
    <w:rsid w:val="002D0BAA"/>
    <w:rsid w:val="002D2E74"/>
    <w:rsid w:val="002D3775"/>
    <w:rsid w:val="002D5077"/>
    <w:rsid w:val="002D5DF2"/>
    <w:rsid w:val="002E2E1B"/>
    <w:rsid w:val="002E49DE"/>
    <w:rsid w:val="002E766A"/>
    <w:rsid w:val="002E7992"/>
    <w:rsid w:val="002F0E5A"/>
    <w:rsid w:val="002F2623"/>
    <w:rsid w:val="002F2AD5"/>
    <w:rsid w:val="002F57B0"/>
    <w:rsid w:val="002F6102"/>
    <w:rsid w:val="00302694"/>
    <w:rsid w:val="003026B9"/>
    <w:rsid w:val="0030311C"/>
    <w:rsid w:val="00304F57"/>
    <w:rsid w:val="003054A7"/>
    <w:rsid w:val="0030646C"/>
    <w:rsid w:val="00313C59"/>
    <w:rsid w:val="0031597C"/>
    <w:rsid w:val="0031635D"/>
    <w:rsid w:val="0032710D"/>
    <w:rsid w:val="00327FC1"/>
    <w:rsid w:val="00332C8C"/>
    <w:rsid w:val="003369A1"/>
    <w:rsid w:val="003416A0"/>
    <w:rsid w:val="0035061C"/>
    <w:rsid w:val="00357D8F"/>
    <w:rsid w:val="00360838"/>
    <w:rsid w:val="00360B3D"/>
    <w:rsid w:val="00370A28"/>
    <w:rsid w:val="00373B6B"/>
    <w:rsid w:val="003750CC"/>
    <w:rsid w:val="00381542"/>
    <w:rsid w:val="00381BD8"/>
    <w:rsid w:val="00382B5C"/>
    <w:rsid w:val="0038394E"/>
    <w:rsid w:val="00384DA0"/>
    <w:rsid w:val="003853B2"/>
    <w:rsid w:val="00392CFA"/>
    <w:rsid w:val="00392E2A"/>
    <w:rsid w:val="00395B50"/>
    <w:rsid w:val="003973F2"/>
    <w:rsid w:val="0039742B"/>
    <w:rsid w:val="0039746E"/>
    <w:rsid w:val="00397D7B"/>
    <w:rsid w:val="003A289C"/>
    <w:rsid w:val="003B265B"/>
    <w:rsid w:val="003B5E27"/>
    <w:rsid w:val="003B71D0"/>
    <w:rsid w:val="003B7605"/>
    <w:rsid w:val="003C138F"/>
    <w:rsid w:val="003C1B94"/>
    <w:rsid w:val="003C3C49"/>
    <w:rsid w:val="003C6E72"/>
    <w:rsid w:val="003D36AE"/>
    <w:rsid w:val="003D5717"/>
    <w:rsid w:val="003D6758"/>
    <w:rsid w:val="003E4914"/>
    <w:rsid w:val="003E4A0E"/>
    <w:rsid w:val="003F0E93"/>
    <w:rsid w:val="004028E3"/>
    <w:rsid w:val="00405C74"/>
    <w:rsid w:val="00410A0F"/>
    <w:rsid w:val="004114F3"/>
    <w:rsid w:val="004137DF"/>
    <w:rsid w:val="00414717"/>
    <w:rsid w:val="00415B61"/>
    <w:rsid w:val="00416D2E"/>
    <w:rsid w:val="00417561"/>
    <w:rsid w:val="00417D1D"/>
    <w:rsid w:val="00417DC5"/>
    <w:rsid w:val="004221CA"/>
    <w:rsid w:val="004222F0"/>
    <w:rsid w:val="004256A2"/>
    <w:rsid w:val="004258AF"/>
    <w:rsid w:val="004270E3"/>
    <w:rsid w:val="004279E9"/>
    <w:rsid w:val="004323A4"/>
    <w:rsid w:val="00432CF8"/>
    <w:rsid w:val="00432FD7"/>
    <w:rsid w:val="004351C1"/>
    <w:rsid w:val="00435842"/>
    <w:rsid w:val="00445FA6"/>
    <w:rsid w:val="00447402"/>
    <w:rsid w:val="004503D6"/>
    <w:rsid w:val="00454410"/>
    <w:rsid w:val="00454FA4"/>
    <w:rsid w:val="00456A64"/>
    <w:rsid w:val="00456C74"/>
    <w:rsid w:val="00461CAE"/>
    <w:rsid w:val="00465794"/>
    <w:rsid w:val="004666B8"/>
    <w:rsid w:val="0047098E"/>
    <w:rsid w:val="00472057"/>
    <w:rsid w:val="004721A4"/>
    <w:rsid w:val="00472817"/>
    <w:rsid w:val="00482FC7"/>
    <w:rsid w:val="0048790A"/>
    <w:rsid w:val="00490B9A"/>
    <w:rsid w:val="00490FA2"/>
    <w:rsid w:val="0049114D"/>
    <w:rsid w:val="004918CC"/>
    <w:rsid w:val="00491D72"/>
    <w:rsid w:val="00492459"/>
    <w:rsid w:val="004A0264"/>
    <w:rsid w:val="004A314F"/>
    <w:rsid w:val="004A3560"/>
    <w:rsid w:val="004A5A39"/>
    <w:rsid w:val="004B05E6"/>
    <w:rsid w:val="004B2DD4"/>
    <w:rsid w:val="004B320F"/>
    <w:rsid w:val="004B4278"/>
    <w:rsid w:val="004B53C1"/>
    <w:rsid w:val="004C58D0"/>
    <w:rsid w:val="004D0250"/>
    <w:rsid w:val="004D07DC"/>
    <w:rsid w:val="004D1F50"/>
    <w:rsid w:val="004D3016"/>
    <w:rsid w:val="004E30FE"/>
    <w:rsid w:val="004E36A4"/>
    <w:rsid w:val="004E4A4A"/>
    <w:rsid w:val="004E5049"/>
    <w:rsid w:val="004E60A9"/>
    <w:rsid w:val="004E6794"/>
    <w:rsid w:val="004E6CFD"/>
    <w:rsid w:val="004F1F61"/>
    <w:rsid w:val="004F59AD"/>
    <w:rsid w:val="005018EA"/>
    <w:rsid w:val="005048D7"/>
    <w:rsid w:val="00506D6E"/>
    <w:rsid w:val="005123CC"/>
    <w:rsid w:val="00527D16"/>
    <w:rsid w:val="00532611"/>
    <w:rsid w:val="005338F0"/>
    <w:rsid w:val="00533BCF"/>
    <w:rsid w:val="005446FF"/>
    <w:rsid w:val="005464DA"/>
    <w:rsid w:val="00550EB8"/>
    <w:rsid w:val="00552045"/>
    <w:rsid w:val="00557ECB"/>
    <w:rsid w:val="005609DE"/>
    <w:rsid w:val="0056100D"/>
    <w:rsid w:val="00561BE7"/>
    <w:rsid w:val="00562856"/>
    <w:rsid w:val="00562EEB"/>
    <w:rsid w:val="0056438A"/>
    <w:rsid w:val="00566A55"/>
    <w:rsid w:val="00570F4B"/>
    <w:rsid w:val="00570F51"/>
    <w:rsid w:val="005714CD"/>
    <w:rsid w:val="00574F4E"/>
    <w:rsid w:val="005756E5"/>
    <w:rsid w:val="00577FEF"/>
    <w:rsid w:val="00582085"/>
    <w:rsid w:val="00586698"/>
    <w:rsid w:val="00586B0C"/>
    <w:rsid w:val="00593545"/>
    <w:rsid w:val="00595C17"/>
    <w:rsid w:val="005961BC"/>
    <w:rsid w:val="00596E0E"/>
    <w:rsid w:val="005A0624"/>
    <w:rsid w:val="005A0DC7"/>
    <w:rsid w:val="005B2E18"/>
    <w:rsid w:val="005B34EC"/>
    <w:rsid w:val="005B3810"/>
    <w:rsid w:val="005B63B9"/>
    <w:rsid w:val="005C4A03"/>
    <w:rsid w:val="005D1512"/>
    <w:rsid w:val="005D19BC"/>
    <w:rsid w:val="005D1F6E"/>
    <w:rsid w:val="005D2C54"/>
    <w:rsid w:val="005D5E3F"/>
    <w:rsid w:val="005E2FD4"/>
    <w:rsid w:val="005E5257"/>
    <w:rsid w:val="005E737D"/>
    <w:rsid w:val="005F338A"/>
    <w:rsid w:val="005F4B27"/>
    <w:rsid w:val="0060563B"/>
    <w:rsid w:val="006118BD"/>
    <w:rsid w:val="006118C6"/>
    <w:rsid w:val="00611DF2"/>
    <w:rsid w:val="006131AE"/>
    <w:rsid w:val="00617AA5"/>
    <w:rsid w:val="0062032B"/>
    <w:rsid w:val="006206BB"/>
    <w:rsid w:val="006219A5"/>
    <w:rsid w:val="0062410B"/>
    <w:rsid w:val="00625253"/>
    <w:rsid w:val="0062598E"/>
    <w:rsid w:val="006277C0"/>
    <w:rsid w:val="006306CD"/>
    <w:rsid w:val="006310C9"/>
    <w:rsid w:val="0063587D"/>
    <w:rsid w:val="00640515"/>
    <w:rsid w:val="00641A2B"/>
    <w:rsid w:val="00642E7E"/>
    <w:rsid w:val="0064489F"/>
    <w:rsid w:val="00646F70"/>
    <w:rsid w:val="006475DD"/>
    <w:rsid w:val="006517A3"/>
    <w:rsid w:val="00652B38"/>
    <w:rsid w:val="00653303"/>
    <w:rsid w:val="006563C2"/>
    <w:rsid w:val="006602AA"/>
    <w:rsid w:val="006653CD"/>
    <w:rsid w:val="00665CB4"/>
    <w:rsid w:val="00666C6F"/>
    <w:rsid w:val="0067045F"/>
    <w:rsid w:val="00674636"/>
    <w:rsid w:val="006746E3"/>
    <w:rsid w:val="00676B6D"/>
    <w:rsid w:val="0067710C"/>
    <w:rsid w:val="00682B88"/>
    <w:rsid w:val="00683C7F"/>
    <w:rsid w:val="00684A4C"/>
    <w:rsid w:val="00685914"/>
    <w:rsid w:val="006935B4"/>
    <w:rsid w:val="0069425D"/>
    <w:rsid w:val="00694437"/>
    <w:rsid w:val="006959BD"/>
    <w:rsid w:val="00697C0F"/>
    <w:rsid w:val="006A4308"/>
    <w:rsid w:val="006A7A53"/>
    <w:rsid w:val="006B01EA"/>
    <w:rsid w:val="006B286C"/>
    <w:rsid w:val="006B6BD9"/>
    <w:rsid w:val="006B7971"/>
    <w:rsid w:val="006B7B95"/>
    <w:rsid w:val="006C0C77"/>
    <w:rsid w:val="006C6B58"/>
    <w:rsid w:val="006C74CA"/>
    <w:rsid w:val="006D03FA"/>
    <w:rsid w:val="006D1A5C"/>
    <w:rsid w:val="006D2BB4"/>
    <w:rsid w:val="006D71E5"/>
    <w:rsid w:val="006E18CC"/>
    <w:rsid w:val="006E4E53"/>
    <w:rsid w:val="006E6768"/>
    <w:rsid w:val="006E6ED4"/>
    <w:rsid w:val="006E7E11"/>
    <w:rsid w:val="006F1AB1"/>
    <w:rsid w:val="006F25D5"/>
    <w:rsid w:val="006F2DC8"/>
    <w:rsid w:val="006F7684"/>
    <w:rsid w:val="00703254"/>
    <w:rsid w:val="007043B7"/>
    <w:rsid w:val="00704B7C"/>
    <w:rsid w:val="00714729"/>
    <w:rsid w:val="00717853"/>
    <w:rsid w:val="00723E52"/>
    <w:rsid w:val="00724A68"/>
    <w:rsid w:val="00727479"/>
    <w:rsid w:val="007352C4"/>
    <w:rsid w:val="00735B11"/>
    <w:rsid w:val="007375D4"/>
    <w:rsid w:val="00737F1F"/>
    <w:rsid w:val="00741B72"/>
    <w:rsid w:val="00741C90"/>
    <w:rsid w:val="00742E14"/>
    <w:rsid w:val="00745AD0"/>
    <w:rsid w:val="00746098"/>
    <w:rsid w:val="00746729"/>
    <w:rsid w:val="0075134F"/>
    <w:rsid w:val="00751F16"/>
    <w:rsid w:val="00753079"/>
    <w:rsid w:val="00753698"/>
    <w:rsid w:val="00754CFE"/>
    <w:rsid w:val="00755C37"/>
    <w:rsid w:val="007630D9"/>
    <w:rsid w:val="00766E5E"/>
    <w:rsid w:val="007670C5"/>
    <w:rsid w:val="0076753D"/>
    <w:rsid w:val="00770AAC"/>
    <w:rsid w:val="0077290A"/>
    <w:rsid w:val="00772AA6"/>
    <w:rsid w:val="00773877"/>
    <w:rsid w:val="00773ECD"/>
    <w:rsid w:val="007757E4"/>
    <w:rsid w:val="007816D4"/>
    <w:rsid w:val="007852D9"/>
    <w:rsid w:val="00790173"/>
    <w:rsid w:val="00790384"/>
    <w:rsid w:val="00791296"/>
    <w:rsid w:val="0079324E"/>
    <w:rsid w:val="007967CE"/>
    <w:rsid w:val="0079685E"/>
    <w:rsid w:val="007A32D4"/>
    <w:rsid w:val="007A3E56"/>
    <w:rsid w:val="007A6763"/>
    <w:rsid w:val="007B1E5A"/>
    <w:rsid w:val="007B56FC"/>
    <w:rsid w:val="007B5B57"/>
    <w:rsid w:val="007C1E83"/>
    <w:rsid w:val="007C6022"/>
    <w:rsid w:val="007C78C3"/>
    <w:rsid w:val="007D1532"/>
    <w:rsid w:val="007D7C7A"/>
    <w:rsid w:val="007E0489"/>
    <w:rsid w:val="007E3B33"/>
    <w:rsid w:val="007E6728"/>
    <w:rsid w:val="007E75FA"/>
    <w:rsid w:val="007F2B49"/>
    <w:rsid w:val="007F5905"/>
    <w:rsid w:val="00803C2B"/>
    <w:rsid w:val="008041AB"/>
    <w:rsid w:val="00812D44"/>
    <w:rsid w:val="00817B37"/>
    <w:rsid w:val="008200F9"/>
    <w:rsid w:val="008238BD"/>
    <w:rsid w:val="00830732"/>
    <w:rsid w:val="008331C0"/>
    <w:rsid w:val="0083331D"/>
    <w:rsid w:val="00833664"/>
    <w:rsid w:val="008356AB"/>
    <w:rsid w:val="008378F5"/>
    <w:rsid w:val="00841D20"/>
    <w:rsid w:val="00841D46"/>
    <w:rsid w:val="0084203E"/>
    <w:rsid w:val="0084639D"/>
    <w:rsid w:val="00847290"/>
    <w:rsid w:val="00851315"/>
    <w:rsid w:val="0085530F"/>
    <w:rsid w:val="008558F4"/>
    <w:rsid w:val="00856643"/>
    <w:rsid w:val="00857541"/>
    <w:rsid w:val="008618B1"/>
    <w:rsid w:val="00861C2B"/>
    <w:rsid w:val="00862113"/>
    <w:rsid w:val="00863C6A"/>
    <w:rsid w:val="008670B8"/>
    <w:rsid w:val="008735A3"/>
    <w:rsid w:val="008753FD"/>
    <w:rsid w:val="00875FAE"/>
    <w:rsid w:val="0088078D"/>
    <w:rsid w:val="008807BC"/>
    <w:rsid w:val="00880CFD"/>
    <w:rsid w:val="00884E54"/>
    <w:rsid w:val="00886037"/>
    <w:rsid w:val="00887758"/>
    <w:rsid w:val="008951B6"/>
    <w:rsid w:val="0089531D"/>
    <w:rsid w:val="00895C74"/>
    <w:rsid w:val="00896157"/>
    <w:rsid w:val="00896993"/>
    <w:rsid w:val="008A1EBA"/>
    <w:rsid w:val="008A2655"/>
    <w:rsid w:val="008A3C1F"/>
    <w:rsid w:val="008B11EE"/>
    <w:rsid w:val="008B1B50"/>
    <w:rsid w:val="008B1BC3"/>
    <w:rsid w:val="008C03BA"/>
    <w:rsid w:val="008C5931"/>
    <w:rsid w:val="008D24D6"/>
    <w:rsid w:val="008D288E"/>
    <w:rsid w:val="008D2AEF"/>
    <w:rsid w:val="008D42FD"/>
    <w:rsid w:val="008D5B87"/>
    <w:rsid w:val="008E0916"/>
    <w:rsid w:val="008E0AC3"/>
    <w:rsid w:val="008E1D2B"/>
    <w:rsid w:val="008F260F"/>
    <w:rsid w:val="00902A27"/>
    <w:rsid w:val="00904486"/>
    <w:rsid w:val="00904BD9"/>
    <w:rsid w:val="009057C6"/>
    <w:rsid w:val="009065A0"/>
    <w:rsid w:val="00910225"/>
    <w:rsid w:val="00911B6E"/>
    <w:rsid w:val="00913EC3"/>
    <w:rsid w:val="00914B15"/>
    <w:rsid w:val="0092316C"/>
    <w:rsid w:val="0092476F"/>
    <w:rsid w:val="00927877"/>
    <w:rsid w:val="00927B2B"/>
    <w:rsid w:val="00930B49"/>
    <w:rsid w:val="0093376B"/>
    <w:rsid w:val="00950A95"/>
    <w:rsid w:val="00951320"/>
    <w:rsid w:val="00952CE5"/>
    <w:rsid w:val="00952D5C"/>
    <w:rsid w:val="009535D3"/>
    <w:rsid w:val="00954DA6"/>
    <w:rsid w:val="00954EDF"/>
    <w:rsid w:val="009560BC"/>
    <w:rsid w:val="00957626"/>
    <w:rsid w:val="00962D5C"/>
    <w:rsid w:val="00965FA4"/>
    <w:rsid w:val="00967428"/>
    <w:rsid w:val="009710F5"/>
    <w:rsid w:val="00974CB4"/>
    <w:rsid w:val="0097643B"/>
    <w:rsid w:val="009778C7"/>
    <w:rsid w:val="00980BCD"/>
    <w:rsid w:val="00981169"/>
    <w:rsid w:val="0098492D"/>
    <w:rsid w:val="00986FF5"/>
    <w:rsid w:val="00987D45"/>
    <w:rsid w:val="00992BF7"/>
    <w:rsid w:val="00993411"/>
    <w:rsid w:val="00994E93"/>
    <w:rsid w:val="009A1812"/>
    <w:rsid w:val="009A1FBE"/>
    <w:rsid w:val="009A32B5"/>
    <w:rsid w:val="009A3B99"/>
    <w:rsid w:val="009B1889"/>
    <w:rsid w:val="009C259C"/>
    <w:rsid w:val="009C7053"/>
    <w:rsid w:val="009C7E1E"/>
    <w:rsid w:val="009D193F"/>
    <w:rsid w:val="009D21BB"/>
    <w:rsid w:val="009D26EE"/>
    <w:rsid w:val="009D60B0"/>
    <w:rsid w:val="009E06CA"/>
    <w:rsid w:val="009E0C6F"/>
    <w:rsid w:val="009E2430"/>
    <w:rsid w:val="009E312E"/>
    <w:rsid w:val="009F4046"/>
    <w:rsid w:val="009F4577"/>
    <w:rsid w:val="009F6BBF"/>
    <w:rsid w:val="00A01148"/>
    <w:rsid w:val="00A021C7"/>
    <w:rsid w:val="00A049E0"/>
    <w:rsid w:val="00A05DC0"/>
    <w:rsid w:val="00A10DB1"/>
    <w:rsid w:val="00A12687"/>
    <w:rsid w:val="00A145E6"/>
    <w:rsid w:val="00A20BDB"/>
    <w:rsid w:val="00A20E42"/>
    <w:rsid w:val="00A2250B"/>
    <w:rsid w:val="00A2575C"/>
    <w:rsid w:val="00A3057B"/>
    <w:rsid w:val="00A31141"/>
    <w:rsid w:val="00A4114D"/>
    <w:rsid w:val="00A43869"/>
    <w:rsid w:val="00A43A5C"/>
    <w:rsid w:val="00A45284"/>
    <w:rsid w:val="00A5086D"/>
    <w:rsid w:val="00A51020"/>
    <w:rsid w:val="00A523C7"/>
    <w:rsid w:val="00A5316E"/>
    <w:rsid w:val="00A54964"/>
    <w:rsid w:val="00A55B88"/>
    <w:rsid w:val="00A56164"/>
    <w:rsid w:val="00A60E5B"/>
    <w:rsid w:val="00A672D2"/>
    <w:rsid w:val="00A70437"/>
    <w:rsid w:val="00A721B0"/>
    <w:rsid w:val="00A73EEB"/>
    <w:rsid w:val="00A75026"/>
    <w:rsid w:val="00A75767"/>
    <w:rsid w:val="00A75CD3"/>
    <w:rsid w:val="00A80566"/>
    <w:rsid w:val="00A85770"/>
    <w:rsid w:val="00A8688B"/>
    <w:rsid w:val="00A95E9E"/>
    <w:rsid w:val="00A96158"/>
    <w:rsid w:val="00AA0F12"/>
    <w:rsid w:val="00AA1197"/>
    <w:rsid w:val="00AA198D"/>
    <w:rsid w:val="00AB0FF7"/>
    <w:rsid w:val="00AB1343"/>
    <w:rsid w:val="00AB3FC1"/>
    <w:rsid w:val="00AC0A5F"/>
    <w:rsid w:val="00AC1A0D"/>
    <w:rsid w:val="00AC6BB5"/>
    <w:rsid w:val="00AD13D1"/>
    <w:rsid w:val="00AD521B"/>
    <w:rsid w:val="00AD7901"/>
    <w:rsid w:val="00AE1CE1"/>
    <w:rsid w:val="00AE1FB4"/>
    <w:rsid w:val="00AE6F8F"/>
    <w:rsid w:val="00AF2D6B"/>
    <w:rsid w:val="00AF57C9"/>
    <w:rsid w:val="00AF629C"/>
    <w:rsid w:val="00AF7A82"/>
    <w:rsid w:val="00AF7B62"/>
    <w:rsid w:val="00B0080A"/>
    <w:rsid w:val="00B04EC4"/>
    <w:rsid w:val="00B05654"/>
    <w:rsid w:val="00B070F0"/>
    <w:rsid w:val="00B137FB"/>
    <w:rsid w:val="00B16E05"/>
    <w:rsid w:val="00B17CF5"/>
    <w:rsid w:val="00B22070"/>
    <w:rsid w:val="00B24FC7"/>
    <w:rsid w:val="00B27457"/>
    <w:rsid w:val="00B3018E"/>
    <w:rsid w:val="00B31BE9"/>
    <w:rsid w:val="00B336B0"/>
    <w:rsid w:val="00B34A24"/>
    <w:rsid w:val="00B36631"/>
    <w:rsid w:val="00B410EA"/>
    <w:rsid w:val="00B41C94"/>
    <w:rsid w:val="00B44E35"/>
    <w:rsid w:val="00B511A4"/>
    <w:rsid w:val="00B55A7A"/>
    <w:rsid w:val="00B56647"/>
    <w:rsid w:val="00B575CC"/>
    <w:rsid w:val="00B60F6A"/>
    <w:rsid w:val="00B6146C"/>
    <w:rsid w:val="00B64230"/>
    <w:rsid w:val="00B64572"/>
    <w:rsid w:val="00B65CDC"/>
    <w:rsid w:val="00B6620B"/>
    <w:rsid w:val="00B67843"/>
    <w:rsid w:val="00B71B95"/>
    <w:rsid w:val="00B72A2A"/>
    <w:rsid w:val="00B73DBF"/>
    <w:rsid w:val="00B7474F"/>
    <w:rsid w:val="00B753D8"/>
    <w:rsid w:val="00B80DFB"/>
    <w:rsid w:val="00B9199F"/>
    <w:rsid w:val="00B93321"/>
    <w:rsid w:val="00B952B8"/>
    <w:rsid w:val="00B95806"/>
    <w:rsid w:val="00BA1C19"/>
    <w:rsid w:val="00BA2DC7"/>
    <w:rsid w:val="00BA3D9F"/>
    <w:rsid w:val="00BA69C7"/>
    <w:rsid w:val="00BB0ABC"/>
    <w:rsid w:val="00BB0E52"/>
    <w:rsid w:val="00BB4F1E"/>
    <w:rsid w:val="00BB5B05"/>
    <w:rsid w:val="00BC1053"/>
    <w:rsid w:val="00BC1B9A"/>
    <w:rsid w:val="00BC3FFB"/>
    <w:rsid w:val="00BC5179"/>
    <w:rsid w:val="00BC641C"/>
    <w:rsid w:val="00BC643A"/>
    <w:rsid w:val="00BD3036"/>
    <w:rsid w:val="00BE2A8D"/>
    <w:rsid w:val="00BE55DA"/>
    <w:rsid w:val="00BE65C8"/>
    <w:rsid w:val="00BE6CC0"/>
    <w:rsid w:val="00BF1D60"/>
    <w:rsid w:val="00BF3B8E"/>
    <w:rsid w:val="00BF74D4"/>
    <w:rsid w:val="00C0053B"/>
    <w:rsid w:val="00C01740"/>
    <w:rsid w:val="00C03168"/>
    <w:rsid w:val="00C062CA"/>
    <w:rsid w:val="00C066E2"/>
    <w:rsid w:val="00C07309"/>
    <w:rsid w:val="00C076E3"/>
    <w:rsid w:val="00C13499"/>
    <w:rsid w:val="00C13A2E"/>
    <w:rsid w:val="00C179F2"/>
    <w:rsid w:val="00C2102A"/>
    <w:rsid w:val="00C23EBF"/>
    <w:rsid w:val="00C24F1B"/>
    <w:rsid w:val="00C328EC"/>
    <w:rsid w:val="00C32B77"/>
    <w:rsid w:val="00C3613C"/>
    <w:rsid w:val="00C36422"/>
    <w:rsid w:val="00C3667B"/>
    <w:rsid w:val="00C36ABB"/>
    <w:rsid w:val="00C3739D"/>
    <w:rsid w:val="00C37908"/>
    <w:rsid w:val="00C405C0"/>
    <w:rsid w:val="00C4062B"/>
    <w:rsid w:val="00C415F2"/>
    <w:rsid w:val="00C45D74"/>
    <w:rsid w:val="00C46182"/>
    <w:rsid w:val="00C47ADE"/>
    <w:rsid w:val="00C52156"/>
    <w:rsid w:val="00C54D02"/>
    <w:rsid w:val="00C5509B"/>
    <w:rsid w:val="00C56795"/>
    <w:rsid w:val="00C604E7"/>
    <w:rsid w:val="00C62895"/>
    <w:rsid w:val="00C641B3"/>
    <w:rsid w:val="00C647B2"/>
    <w:rsid w:val="00C7089E"/>
    <w:rsid w:val="00C71B84"/>
    <w:rsid w:val="00C72192"/>
    <w:rsid w:val="00C7308B"/>
    <w:rsid w:val="00C74E6D"/>
    <w:rsid w:val="00C75317"/>
    <w:rsid w:val="00C81BED"/>
    <w:rsid w:val="00C831BC"/>
    <w:rsid w:val="00C86C13"/>
    <w:rsid w:val="00C9030A"/>
    <w:rsid w:val="00C94210"/>
    <w:rsid w:val="00C94E9E"/>
    <w:rsid w:val="00C96BA9"/>
    <w:rsid w:val="00C97E71"/>
    <w:rsid w:val="00CA402D"/>
    <w:rsid w:val="00CB1849"/>
    <w:rsid w:val="00CB360F"/>
    <w:rsid w:val="00CC38BA"/>
    <w:rsid w:val="00CC5C35"/>
    <w:rsid w:val="00CD128B"/>
    <w:rsid w:val="00CD19C0"/>
    <w:rsid w:val="00CD40E8"/>
    <w:rsid w:val="00CE062E"/>
    <w:rsid w:val="00CE1CF6"/>
    <w:rsid w:val="00CE7C14"/>
    <w:rsid w:val="00CF2EAF"/>
    <w:rsid w:val="00CF3E49"/>
    <w:rsid w:val="00CF58EE"/>
    <w:rsid w:val="00D037F2"/>
    <w:rsid w:val="00D04B94"/>
    <w:rsid w:val="00D0704B"/>
    <w:rsid w:val="00D071E7"/>
    <w:rsid w:val="00D126DD"/>
    <w:rsid w:val="00D130E8"/>
    <w:rsid w:val="00D20D51"/>
    <w:rsid w:val="00D26680"/>
    <w:rsid w:val="00D32F99"/>
    <w:rsid w:val="00D33E2C"/>
    <w:rsid w:val="00D345FE"/>
    <w:rsid w:val="00D3679F"/>
    <w:rsid w:val="00D3701F"/>
    <w:rsid w:val="00D40BE0"/>
    <w:rsid w:val="00D41567"/>
    <w:rsid w:val="00D43522"/>
    <w:rsid w:val="00D43538"/>
    <w:rsid w:val="00D43983"/>
    <w:rsid w:val="00D47F8C"/>
    <w:rsid w:val="00D50637"/>
    <w:rsid w:val="00D50A19"/>
    <w:rsid w:val="00D50C6F"/>
    <w:rsid w:val="00D52E6B"/>
    <w:rsid w:val="00D534F4"/>
    <w:rsid w:val="00D5523E"/>
    <w:rsid w:val="00D56D40"/>
    <w:rsid w:val="00D6110B"/>
    <w:rsid w:val="00D6359F"/>
    <w:rsid w:val="00D63CFA"/>
    <w:rsid w:val="00D6564C"/>
    <w:rsid w:val="00D66384"/>
    <w:rsid w:val="00D6653D"/>
    <w:rsid w:val="00D77973"/>
    <w:rsid w:val="00D810F6"/>
    <w:rsid w:val="00D82605"/>
    <w:rsid w:val="00D91515"/>
    <w:rsid w:val="00D92DF9"/>
    <w:rsid w:val="00D945E7"/>
    <w:rsid w:val="00D94888"/>
    <w:rsid w:val="00D954EF"/>
    <w:rsid w:val="00D95684"/>
    <w:rsid w:val="00DA02F1"/>
    <w:rsid w:val="00DA0891"/>
    <w:rsid w:val="00DA4A13"/>
    <w:rsid w:val="00DB4986"/>
    <w:rsid w:val="00DB5398"/>
    <w:rsid w:val="00DB5B08"/>
    <w:rsid w:val="00DC4752"/>
    <w:rsid w:val="00DC623B"/>
    <w:rsid w:val="00DD291E"/>
    <w:rsid w:val="00DD4A17"/>
    <w:rsid w:val="00DD688F"/>
    <w:rsid w:val="00DD7A77"/>
    <w:rsid w:val="00DE3A7B"/>
    <w:rsid w:val="00DE5DE2"/>
    <w:rsid w:val="00DF0A3C"/>
    <w:rsid w:val="00DF230B"/>
    <w:rsid w:val="00DF2947"/>
    <w:rsid w:val="00DF33C5"/>
    <w:rsid w:val="00DF6F62"/>
    <w:rsid w:val="00E04A8C"/>
    <w:rsid w:val="00E05B70"/>
    <w:rsid w:val="00E10D32"/>
    <w:rsid w:val="00E1233C"/>
    <w:rsid w:val="00E15A96"/>
    <w:rsid w:val="00E1789E"/>
    <w:rsid w:val="00E219A2"/>
    <w:rsid w:val="00E21C50"/>
    <w:rsid w:val="00E23489"/>
    <w:rsid w:val="00E2778A"/>
    <w:rsid w:val="00E27A81"/>
    <w:rsid w:val="00E33300"/>
    <w:rsid w:val="00E36574"/>
    <w:rsid w:val="00E4625F"/>
    <w:rsid w:val="00E503E2"/>
    <w:rsid w:val="00E5071C"/>
    <w:rsid w:val="00E54698"/>
    <w:rsid w:val="00E66A62"/>
    <w:rsid w:val="00E66AF1"/>
    <w:rsid w:val="00E66DAD"/>
    <w:rsid w:val="00E80E71"/>
    <w:rsid w:val="00E84DFF"/>
    <w:rsid w:val="00E870B6"/>
    <w:rsid w:val="00E918B2"/>
    <w:rsid w:val="00E94986"/>
    <w:rsid w:val="00E95B81"/>
    <w:rsid w:val="00E978D7"/>
    <w:rsid w:val="00EA0405"/>
    <w:rsid w:val="00EA13C1"/>
    <w:rsid w:val="00EA2069"/>
    <w:rsid w:val="00EA25EB"/>
    <w:rsid w:val="00EA78F2"/>
    <w:rsid w:val="00EB33A8"/>
    <w:rsid w:val="00EB362D"/>
    <w:rsid w:val="00EB7104"/>
    <w:rsid w:val="00EC1A96"/>
    <w:rsid w:val="00EC328B"/>
    <w:rsid w:val="00ED01A4"/>
    <w:rsid w:val="00ED451F"/>
    <w:rsid w:val="00EE266C"/>
    <w:rsid w:val="00EE3CCD"/>
    <w:rsid w:val="00EE4595"/>
    <w:rsid w:val="00EE5F9B"/>
    <w:rsid w:val="00EE6BA4"/>
    <w:rsid w:val="00EE7B00"/>
    <w:rsid w:val="00EF3AFA"/>
    <w:rsid w:val="00F01431"/>
    <w:rsid w:val="00F01A65"/>
    <w:rsid w:val="00F01CD0"/>
    <w:rsid w:val="00F12073"/>
    <w:rsid w:val="00F1266B"/>
    <w:rsid w:val="00F23251"/>
    <w:rsid w:val="00F24257"/>
    <w:rsid w:val="00F247C4"/>
    <w:rsid w:val="00F265C1"/>
    <w:rsid w:val="00F2706B"/>
    <w:rsid w:val="00F31A31"/>
    <w:rsid w:val="00F340E8"/>
    <w:rsid w:val="00F34320"/>
    <w:rsid w:val="00F359C4"/>
    <w:rsid w:val="00F374F3"/>
    <w:rsid w:val="00F37B6E"/>
    <w:rsid w:val="00F37CF0"/>
    <w:rsid w:val="00F52BE1"/>
    <w:rsid w:val="00F54C42"/>
    <w:rsid w:val="00F54DF6"/>
    <w:rsid w:val="00F55225"/>
    <w:rsid w:val="00F563F9"/>
    <w:rsid w:val="00F57799"/>
    <w:rsid w:val="00F57B20"/>
    <w:rsid w:val="00F61628"/>
    <w:rsid w:val="00F64860"/>
    <w:rsid w:val="00F66E7F"/>
    <w:rsid w:val="00F71B19"/>
    <w:rsid w:val="00F730C9"/>
    <w:rsid w:val="00F8548B"/>
    <w:rsid w:val="00F8602E"/>
    <w:rsid w:val="00F87CA3"/>
    <w:rsid w:val="00F94546"/>
    <w:rsid w:val="00F97787"/>
    <w:rsid w:val="00FA11A9"/>
    <w:rsid w:val="00FA1CA2"/>
    <w:rsid w:val="00FA2E18"/>
    <w:rsid w:val="00FA481D"/>
    <w:rsid w:val="00FA514A"/>
    <w:rsid w:val="00FA758F"/>
    <w:rsid w:val="00FB3130"/>
    <w:rsid w:val="00FB3685"/>
    <w:rsid w:val="00FB4526"/>
    <w:rsid w:val="00FB4B3C"/>
    <w:rsid w:val="00FB63F4"/>
    <w:rsid w:val="00FC4C6F"/>
    <w:rsid w:val="00FC543A"/>
    <w:rsid w:val="00FC6075"/>
    <w:rsid w:val="00FD4020"/>
    <w:rsid w:val="00FD4026"/>
    <w:rsid w:val="00FD5871"/>
    <w:rsid w:val="00FD65AB"/>
    <w:rsid w:val="00FD665E"/>
    <w:rsid w:val="00FD7C56"/>
    <w:rsid w:val="00FE2C77"/>
    <w:rsid w:val="00FF30C4"/>
    <w:rsid w:val="00FF439C"/>
    <w:rsid w:val="00FF44A5"/>
    <w:rsid w:val="00FF558C"/>
    <w:rsid w:val="00FF5823"/>
    <w:rsid w:val="2744167F"/>
    <w:rsid w:val="2DDB23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link w:val="14"/>
    <w:qFormat/>
    <w:locked/>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7">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22"/>
    <w:unhideWhenUsed/>
    <w:uiPriority w:val="99"/>
    <w:rPr>
      <w:sz w:val="18"/>
      <w:szCs w:val="18"/>
    </w:rPr>
  </w:style>
  <w:style w:type="paragraph" w:styleId="4">
    <w:name w:val="footer"/>
    <w:basedOn w:val="1"/>
    <w:link w:val="12"/>
    <w:uiPriority w:val="99"/>
    <w:pPr>
      <w:tabs>
        <w:tab w:val="center" w:pos="4153"/>
        <w:tab w:val="right" w:pos="8306"/>
      </w:tabs>
      <w:snapToGrid w:val="0"/>
      <w:jc w:val="left"/>
    </w:pPr>
    <w:rPr>
      <w:sz w:val="18"/>
      <w:szCs w:val="18"/>
    </w:rPr>
  </w:style>
  <w:style w:type="paragraph" w:styleId="5">
    <w:name w:val="header"/>
    <w:basedOn w:val="1"/>
    <w:link w:val="13"/>
    <w:semiHidden/>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cs="宋体"/>
      <w:kern w:val="0"/>
      <w:sz w:val="24"/>
    </w:rPr>
  </w:style>
  <w:style w:type="character" w:styleId="8">
    <w:name w:val="Strong"/>
    <w:basedOn w:val="7"/>
    <w:qFormat/>
    <w:locked/>
    <w:uiPriority w:val="0"/>
    <w:rPr>
      <w:b/>
      <w:bCs/>
    </w:rPr>
  </w:style>
  <w:style w:type="character" w:styleId="9">
    <w:name w:val="page number"/>
    <w:basedOn w:val="7"/>
    <w:uiPriority w:val="99"/>
    <w:rPr>
      <w:rFonts w:cs="Times New Roman"/>
    </w:rPr>
  </w:style>
  <w:style w:type="character" w:styleId="10">
    <w:name w:val="Hyperlink"/>
    <w:basedOn w:val="7"/>
    <w:uiPriority w:val="99"/>
    <w:rPr>
      <w:rFonts w:cs="Times New Roman"/>
      <w:color w:val="0000FF"/>
      <w:u w:val="single"/>
    </w:rPr>
  </w:style>
  <w:style w:type="character" w:customStyle="1" w:styleId="12">
    <w:name w:val="页脚 Char"/>
    <w:basedOn w:val="7"/>
    <w:link w:val="4"/>
    <w:locked/>
    <w:uiPriority w:val="99"/>
    <w:rPr>
      <w:rFonts w:ascii="Times New Roman" w:hAnsi="Times New Roman" w:eastAsia="宋体" w:cs="Times New Roman"/>
      <w:sz w:val="18"/>
      <w:szCs w:val="18"/>
    </w:rPr>
  </w:style>
  <w:style w:type="character" w:customStyle="1" w:styleId="13">
    <w:name w:val="页眉 Char"/>
    <w:basedOn w:val="7"/>
    <w:link w:val="5"/>
    <w:semiHidden/>
    <w:locked/>
    <w:uiPriority w:val="99"/>
    <w:rPr>
      <w:rFonts w:ascii="Times New Roman" w:hAnsi="Times New Roman" w:eastAsia="宋体" w:cs="Times New Roman"/>
      <w:sz w:val="18"/>
      <w:szCs w:val="18"/>
    </w:rPr>
  </w:style>
  <w:style w:type="character" w:customStyle="1" w:styleId="14">
    <w:name w:val="标题 3 Char"/>
    <w:basedOn w:val="7"/>
    <w:link w:val="2"/>
    <w:uiPriority w:val="9"/>
    <w:rPr>
      <w:rFonts w:ascii="宋体" w:hAnsi="宋体" w:cs="宋体"/>
      <w:b/>
      <w:bCs/>
      <w:sz w:val="27"/>
      <w:szCs w:val="27"/>
    </w:rPr>
  </w:style>
  <w:style w:type="character" w:customStyle="1" w:styleId="15">
    <w:name w:val="tcnt3"/>
    <w:basedOn w:val="7"/>
    <w:uiPriority w:val="0"/>
  </w:style>
  <w:style w:type="character" w:customStyle="1" w:styleId="16">
    <w:name w:val="pleft4"/>
    <w:basedOn w:val="7"/>
    <w:uiPriority w:val="0"/>
  </w:style>
  <w:style w:type="character" w:customStyle="1" w:styleId="17">
    <w:name w:val="blogsep2"/>
    <w:basedOn w:val="7"/>
    <w:uiPriority w:val="0"/>
  </w:style>
  <w:style w:type="character" w:customStyle="1" w:styleId="18">
    <w:name w:val="pright4"/>
    <w:basedOn w:val="7"/>
    <w:uiPriority w:val="0"/>
  </w:style>
  <w:style w:type="character" w:customStyle="1" w:styleId="19">
    <w:name w:val="zihao"/>
    <w:basedOn w:val="7"/>
    <w:uiPriority w:val="0"/>
  </w:style>
  <w:style w:type="character" w:customStyle="1" w:styleId="20">
    <w:name w:val="fc042"/>
    <w:basedOn w:val="7"/>
    <w:uiPriority w:val="0"/>
    <w:rPr>
      <w:color w:val="C97075"/>
    </w:rPr>
  </w:style>
  <w:style w:type="character" w:customStyle="1" w:styleId="21">
    <w:name w:val="iblock14"/>
    <w:basedOn w:val="7"/>
    <w:uiPriority w:val="0"/>
  </w:style>
  <w:style w:type="character" w:customStyle="1" w:styleId="22">
    <w:name w:val="批注框文本 Char"/>
    <w:basedOn w:val="7"/>
    <w:link w:val="3"/>
    <w:semiHidden/>
    <w:uiPriority w:val="99"/>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384</Words>
  <Characters>2194</Characters>
  <Lines>18</Lines>
  <Paragraphs>5</Paragraphs>
  <TotalTime>0</TotalTime>
  <ScaleCrop>false</ScaleCrop>
  <LinksUpToDate>false</LinksUpToDate>
  <CharactersWithSpaces>2573</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2017-01-17T07:38:00Z</dcterms:created>
  <dc:creator>Microsoft</dc:creator>
  <cp:lastModifiedBy>yq</cp:lastModifiedBy>
  <dcterms:modified xsi:type="dcterms:W3CDTF">2017-11-17T13:32:54Z</dcterms:modified>
  <dc:title>走进“原汁原味”的莎士比亚世界</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